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BETTINA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Kun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ésszerű alkalmazkodás követelménye - a magyar jogba való átültetés dilemmái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Hazánkban először az új munka törvénykönyvében (2012. évi I. tv.) jelent meg – a nemzetközi jogban egyébként többé-kevésbé kimunkált – ésszerű alkalmazkodás (reasonable accommodation) fogalma, pótolva az addigi jogharmonizációs mulasztást. Azonban hiába keressük a fogalmi keret tartalommal való megtöltését, mögöttes intézményi és financiális hátterét akár a joganyagban, akár a joggyakorlatban, nem találunk egyértelmű támpontot. Mindezen hiányosságok ellenére véleményünk szerint rendkívül sürgető kérdésről van szó, hiszen sok esetben a fogyatékossággal élő munkavállaló éppen a munkáltatói ésszerű alkalmazkodás teljesítésének hiánya miatt szorul ki a munkaerőpiacról még akkor is, ha megfelelő végzettsége van és képes lenne ellátni az adott munkakört.</w:t>
      </w:r>
      <w:r>
        <w:rPr>
          <w:color w:val="000000"/>
          <w:sz w:val="24"/>
          <w:szCs w:val="24"/>
        </w:rPr>
        <w:br/>
        <w:t xml:space="preserve">Ezen okok által vezérelve tárja fel a tanulmány az ésszerű alkalmazkodás elvének történeti, jogtörténeti fejlődése és a magyar jogrendszerbe kerülésének folyamata, s ennek dilemmái.</w:t>
      </w:r>
      <w:r>
        <w:rPr>
          <w:color w:val="000000"/>
          <w:sz w:val="24"/>
          <w:szCs w:val="24"/>
        </w:rPr>
        <w:br/>
        <w:t xml:space="preserve">A dolgozat struktúrája alapvetően a főbb csomópontokra koncentrál a nemzetközi jog fejlődésében, ám megjelenik benne az EU-jog elemzése, a kapcsolódó esetjog feldolgozása, illetve a magyar jog mindennek tükrében való vizsgálata is.</w:t>
      </w:r>
      <w:r>
        <w:rPr>
          <w:color w:val="000000"/>
          <w:sz w:val="24"/>
          <w:szCs w:val="24"/>
        </w:rPr>
        <w:br/>
        <w:t xml:space="preserve">Ezek alapján próbál a tanulmány rávilágítani a további teendőkre, s felhívni a figyelmet a halasztást nem tűrő problémákra, hiányosságokra.</w:t>
      </w:r>
      <w:r>
        <w:rPr>
          <w:color w:val="000000"/>
          <w:sz w:val="24"/>
          <w:szCs w:val="24"/>
        </w:rPr>
        <w:br/>
        <w:t xml:space="preserve">Továbbá a záró fejezetekben a lehetséges megoldásokra tesz javaslatokat, amelyek elősegíthetik az ésszerű alkalmazkodás követelményének meghonosítását és érvényre juttatását hazánkban.</w:t>
      </w:r>
      <w:r>
        <w:rPr>
          <w:color w:val="000000"/>
          <w:sz w:val="24"/>
          <w:szCs w:val="24"/>
        </w:rPr>
        <w:br/>
        <w:t xml:space="preserve">Végül az összegzésben megpróbáljuk megválaszolni a bevezetésben feltett kérdéseinket.</w:t>
      </w:r>
      <w:r>
        <w:rPr>
          <w:color w:val="000000"/>
          <w:sz w:val="24"/>
          <w:szCs w:val="24"/>
        </w:rPr>
        <w:br/>
        <w:t xml:space="preserve">Mi az ésszerűség határa és mércéje? Talán, ami az adott helyzetben még elvárható, racionális, vagy amit a fogyatékossággal élő személy szükséglete megkíván? Ki jogosult és hogyan dönthet arról, hogy az adott alkalmazkodás még ésszerű, vagy már aránytalanul nagy terhet ró a munkáltatóra? Az alkalmazkodás anyagi terheit kinek kell állnia? Kik tartoznak egyáltalán az ésszerű alkalmazkodás alanyi körébe? Mit jelent a fogyatékosság?</w:t>
      </w:r>
      <w:r>
        <w:rPr>
          <w:color w:val="000000"/>
          <w:sz w:val="24"/>
          <w:szCs w:val="24"/>
        </w:rPr>
        <w:br/>
        <w:t xml:space="preserve">A problémát az jelenti, hogy az összes kérdés csak közvetve, illetve kontúrjaiban válaszolható meg. Levezethetjük nemzetközi normákból, uniós bírósági döntésekből, olykor egy-egy magyar szabályozás nyújthat segítséget, de egyik esetben sem egyértelmű és kielégítő a válasz.</w:t>
      </w:r>
      <w:r>
        <w:rPr>
          <w:color w:val="000000"/>
          <w:sz w:val="24"/>
          <w:szCs w:val="24"/>
        </w:rPr>
        <w:br/>
        <w:t xml:space="preserve">Összességében megállapíthatjuk, hogy eddig csak tartalmi, és nem érdemi jogharmonizáció történt. További feladatok várnak mind a jogalkotóra, mind a bíróságokra.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641587">
    <w:multiLevelType w:val="hybridMultilevel"/>
    <w:lvl w:ilvl="0" w:tplc="246483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641587">
    <w:abstractNumId w:val="766415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81661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