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BETTINA KISS</w:t>
            </w:r>
          </w:p>
          <w:p w:rsidR="00C275A3" w:rsidRDefault="00A96AEC" w:rsidP="00C275A3">
            <w:pPr>
              <w:pStyle w:val="Hallgatokepzes"/>
            </w:pPr>
            <w:r>
              <w:t>Faculty of Law</w:t>
            </w:r>
            <w:r>
              <w:br/>
            </w:r>
            <w:r w:rsidR="00E77B23">
              <w:t>Unified, 7. semester</w:t>
            </w:r>
          </w:p>
          <w:p w:rsidR="00C265CE" w:rsidRPr="009E5FF1" w:rsidRDefault="00E77B23" w:rsidP="00C275A3">
            <w:pPr>
              <w:pStyle w:val="Hallgatokepzes"/>
              <w:rPr>
                <w:b/>
                <w:caps/>
              </w:rPr>
            </w:pPr>
            <w:r>
              <w:t>Károli Gáspár University of the Reformed Church in Hungary</w:t>
            </w:r>
            <w:r w:rsidR="00C275A3">
              <w:br/>
            </w:r>
            <w:r w:rsidR="00DB4822">
              <w:t>Faculty of Law</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Attila Kun PhD</w:t>
            </w:r>
          </w:p>
          <w:p w:rsidR="00DB4822" w:rsidRDefault="00DB4822" w:rsidP="00E11062">
            <w:pPr>
              <w:pStyle w:val="Konzulensek"/>
            </w:pPr>
            <w:r w:rsidRPr="00DB4822">
              <w:t>head of department associate professor, KRE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Concept of reasonable accommodation - problems of implementation into the Hungarian law</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concept of “reasonable accommodation” – more or less well-established in international law – was first introduced in Hungary in the new Labour Code (Act 1 of 2012), filling a gap in legal harmonisation. However, we would look in vain for actual content behind the conceptual framework created this way or for any institutional and financial basis therefor. Neither the legislation nor the case law contains any clear reference in this respect.</w:t>
      </w:r>
      <w:r>
        <w:rPr>
          <w:color w:val="000000"/>
          <w:sz w:val="24"/>
          <w:szCs w:val="24"/>
        </w:rPr>
        <w:br/>
        <w:t xml:space="preserve">Despite all these deficiencies, we believe that reasonable accommodation marks an extremely urgent issue as the absence of application of this concept leads to the exclusion of many disabled workers from the job market even though they have the required qualifications and would be able to perform the tasks involved in the job in question.</w:t>
      </w:r>
      <w:r>
        <w:rPr>
          <w:color w:val="000000"/>
          <w:sz w:val="24"/>
          <w:szCs w:val="24"/>
        </w:rPr>
        <w:br/>
        <w:t xml:space="preserve">These were our main motives in providing an outline of the development of the concept of reasonable accommodation in both general and legal history as well as of its introduction into the Hungarian legal system with all the problems this process entailed.</w:t>
      </w:r>
      <w:r>
        <w:rPr>
          <w:color w:val="000000"/>
          <w:sz w:val="24"/>
          <w:szCs w:val="24"/>
        </w:rPr>
        <w:br/>
        <w:t xml:space="preserve">While the primary focus of our thesis will be significant points of connection in the evolution of international law, a review of the relevant ECJ case-law and the study of Hungarian legislation from all these aspects.</w:t>
      </w:r>
      <w:r>
        <w:rPr>
          <w:color w:val="000000"/>
          <w:sz w:val="24"/>
          <w:szCs w:val="24"/>
        </w:rPr>
        <w:br/>
        <w:t xml:space="preserve">In our closing paragraphs, we will propose solutions that may foster the establishment and effective enforcement of the concept of reasonable accommodation.</w:t>
      </w:r>
      <w:r>
        <w:rPr>
          <w:color w:val="000000"/>
          <w:sz w:val="24"/>
          <w:szCs w:val="24"/>
        </w:rPr>
        <w:br/>
        <w:t xml:space="preserve">We will conclude our thesis by trying to provide answers to the questions raised in the introduction: To what extent can accommodation be considered reasonable and by what standards? Does it refer to actions that can be reasonably expected in any specific situation or rather to actions justified by the needs of a disabled person? Who is responsible to decide if accommodation is still reasonable or it imposes a disproportionate burden on the employer, and how? Who is to bear the costs of accommodation and who fall within its scope of application in the first place? The main difficulty here is that all these questions can be answered only indirectly and intuitively, deduced from international legal rules, judgments of the Court of Justice of the EU, or on the basis of some dispersed provisions in Hungarian legislation. However, none of these sources provide a clear and definitive answer.</w:t>
      </w:r>
      <w:r>
        <w:rPr>
          <w:color w:val="000000"/>
          <w:sz w:val="24"/>
          <w:szCs w:val="24"/>
        </w:rPr>
        <w:br/>
        <w:t xml:space="preserve">On the whole, it can be stated that legal harmonisation took place only in terms of content but not in substance. Further work is required on the part of legislators and courts.</w:t>
      </w:r>
    </w:p>
    <w:p>
      <w:pPr>
        <w:widowControl w:val="on"/>
        <w:pBdr/>
        <w:spacing w:before="240" w:after="240" w:line="240" w:lineRule="auto"/>
        <w:ind w:left="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4178998">
    <w:multiLevelType w:val="hybridMultilevel"/>
    <w:lvl w:ilvl="0" w:tplc="1462507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4178998">
    <w:abstractNumId w:val="4417899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7404049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