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KÖVESDI</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Kun Phd</w:t>
            </w:r>
          </w:p>
          <w:p w:rsidR="00DB4822" w:rsidRDefault="00DB4822" w:rsidP="00E11062">
            <w:pPr>
              <w:pStyle w:val="Konzulensek"/>
            </w:pPr>
            <w:r w:rsidRPr="00DB4822">
              <w:t>head of department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Role of labor unions in negotiations of collective agreements, with a special regard to the rights of employees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topic, goal, is to show through a concrete company example a collective deal, within importance of the collective contract, offering a possibility enforcement in the current 2012.year I. low (further: LL, labor law), which is available for the advocacy who are entitled to making the collective contract. Furthermore this dissertation tries to answers, that the current law possibilities, and so-called soft tools (not legal tools) extend to which helping the employees promote interest. It examine, the possibility to emphasize the nature of the sector social dialogue can affect how the unions can strengthen the advocacy function.</w:t>
      </w:r>
      <w:r>
        <w:rPr>
          <w:color w:val="000000"/>
          <w:sz w:val="24"/>
          <w:szCs w:val="24"/>
        </w:rPr>
        <w:br/>
        <w:t xml:space="preserve">In the first part of the dissertation I would like to illustrate what are the legal changes, which were the union lobbying activities affect the right which are those that have disappeared, or even compared the previous regulation were pushed into the background. Connect to this, will be explained in detail, in addition to the statutory rules about the possibilities for unions lobbying intended to fulfill. As a solution, it is possible as an alternative deal in more detail the importance of sectoral dialogue, the introduction of the impact of the trade union interest.</w:t>
      </w:r>
      <w:r>
        <w:rPr>
          <w:color w:val="000000"/>
          <w:sz w:val="24"/>
          <w:szCs w:val="24"/>
        </w:rPr>
        <w:br/>
        <w:t xml:space="preserve">The presentation of the legislative and other alternatives after them one of the MAV informal relays railway construction company force – now analyze the present here and representative trade unions in contract rights in an essential function of the existence or non-existence through collective agreement in transition, as the law says, the promoting and defending the interests of workers in employment-related role of the collective agreement currently in force the provisions of analysis.</w:t>
      </w:r>
      <w:r>
        <w:rPr>
          <w:color w:val="000000"/>
          <w:sz w:val="24"/>
          <w:szCs w:val="24"/>
        </w:rPr>
        <w:br/>
        <w:t xml:space="preserve">In summary, I would like to give the above information, an overview of the current Hungarian advocacy system, and in this context, those already in Hungary also running in the direction of development in the initiatives I present, which could have serious impact on the future of trade unions to operate, the system of labor relations, along with the development of society, the function of strengthening advocacy workers.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00076">
    <w:multiLevelType w:val="hybridMultilevel"/>
    <w:lvl w:ilvl="0" w:tplc="68029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00076">
    <w:abstractNumId w:val="17300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51200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