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RÁCZ</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Kun Phd</w:t>
            </w:r>
          </w:p>
          <w:p w:rsidR="00DB4822" w:rsidRDefault="00DB4822" w:rsidP="00E11062">
            <w:pPr>
              <w:pStyle w:val="Konzulensek"/>
            </w:pPr>
            <w:r w:rsidRPr="00DB4822">
              <w:t>head of department 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Shadows of the social media - with a special regard to the labour relations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past few years the zone between employment relationship and privacy has became even more inseparable and close by the exponential growth of the usage of social networking. The usage of social media during and out of working hours produces numerous unanswered questions in the world of work. These issues are connected to, inter alia, the responsibilities of the employee regulated by law (such as the so-called ‘general expectation’, liability for careful work, protection of the legitimate financial interest of the employer or the state of ability to work), his freedom of expression and the termination of the employment relationship by the employer. For example, is it violating the financial interests of the employer, if the employee complains about his working conditions on a social media site, or endangers its “goodwill”? Can the lawful termination be based on a photo of himself, released by the employee which depicts him in an inappropriate clothing or behaviour?</w:t>
      </w:r>
      <w:r>
        <w:rPr>
          <w:color w:val="000000"/>
          <w:sz w:val="24"/>
          <w:szCs w:val="24"/>
        </w:rPr>
        <w:br/>
        <w:t xml:space="preserve">In the beginning I studied the relevant Hungarian labour law rules and legal literature in connection with these topics. Then, during my research, I examined the social media guidelines in effect at foreign (multinational) employers in a comparative method. The employer sets up its expectations for the employees in these policies in connection with their social media usage. The primer source of my study is the in-depth analization of the published policies of 10 well-known multinational companies. Furthermore I analyzed relevant foreign laws, jurisprudence, articles of periodicals and conference presentations in a significant amount. Based on my conclusions about the examined policies, I reviewed both practical, well-formulated and doubtful, inaccurate formulas, providing guidelines (probably patterns) for Hungarian employers for creating their own social media guidelines.</w:t>
      </w:r>
      <w:r>
        <w:rPr>
          <w:color w:val="000000"/>
          <w:sz w:val="24"/>
          <w:szCs w:val="24"/>
        </w:rPr>
        <w:br/>
        <w:t xml:space="preserve">Because of the immature judicial practice and the lack of targeted legislation, the creation of the solutions of these issues is basically laid upon the employers. In my opinion the creation of an up-to-date internal policy is a really actual task for most of the Hungarian employers, settling the unregulated space in the raised questions.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598313">
    <w:multiLevelType w:val="hybridMultilevel"/>
    <w:lvl w:ilvl="0" w:tplc="37741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598313">
    <w:abstractNumId w:val="41598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0700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