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FELÍCIA LAURA BALOGH</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Rixer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Special and preventive protection in the childcare system - new deals and old difficulties </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Nowadays about 15-20000 children live at the state's childcare system at Hungary. Their ascension is unsuccesful in the 70% of the cases, the great majority is from roma origin. According to the prognosis of sociologists, at 2050 the number of gipsy people will be around two million people, and because of the curing of the Hungarian population, the adequate supply is necessary. Another serious problem is, that as a result of the permeation of child-poverty, more children have to been torn from their parents of blood.</w:t>
      </w:r>
      <w:r>
        <w:rPr>
          <w:color w:val="000000"/>
          <w:sz w:val="24"/>
          <w:szCs w:val="24"/>
        </w:rPr>
        <w:br/>
        <w:t xml:space="preserve">In my essay I examine the engagement of the state and the public management in the area of the special and the preventive protection of children in connection of roma integration, presenting the successfully working best practices of the self-governments, the educational programmes, the NGO-s and the churches.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04583">
    <w:multiLevelType w:val="hybridMultilevel"/>
    <w:lvl w:ilvl="0" w:tplc="81920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04583">
    <w:abstractNumId w:val="572045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466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