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SZABOLCS</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Tóth András</w:t>
            </w:r>
          </w:p>
          <w:p w:rsidR="00DB4822" w:rsidRDefault="00DB4822" w:rsidP="009763E0">
            <w:pPr>
              <w:pStyle w:val="Konzulensektitulus"/>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adataink jogi sorsa a halál után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 online adatok halál utáni jogi sorsának problematikáját járja körül. A bevezető részben néhány számadattal érzékeltetjük, milyen mértékeket öltött az emberiség internetes adattermelő tevékenysége a közelmúltban, majd bemutatjuk, hogy egy személy online adataihoz való hozzáférés igénye milyen motivációkon alapulhat az örökösök részéről, illetve az egyes személyek milyen megfontolások révén dönthetnek arról, meg kívánják-e osztani online adataikat haláluk után hozzátartozóikkal. E motivációk bemutatása az online adatok egyes fajtáira lebontva történik.</w:t>
      </w:r>
      <w:r>
        <w:rPr>
          <w:color w:val="000000"/>
          <w:sz w:val="24"/>
          <w:szCs w:val="24"/>
        </w:rPr>
        <w:br/>
        <w:t xml:space="preserve">A dolgozat további részében a bevezetőben vázolt kérdésekre adott jogalkotói válaszok két fő csoportját mutatjuk be. Elsőként az Amerikai Egyesült Államokét, ahol eddig nyolc tagállamban (Connecticut, Rhode Island, Indiana, Oklahoma, Idaho, Nevada, Virginia, Delaware) születtek tagállami szintű jogszabályok az online adatok posztumusz jogi sorsával kapcsolatosan, illetve három szövetségi törvény érinti a témát: egy a jogellenes hozzáférés büntetőjogi következményeivel, egy pedig adatvédelmi szempontból rendelkezik a témáról. A harmadikként bemutatott szövetségi törvény viszont teljes egészében a dolgozat témáját öleli fel, és mivel már elfogadásra került, így a továbbiakban a tagállamok feladata, hogy beépítsék jogrendszerükbe.</w:t>
      </w:r>
      <w:r>
        <w:rPr>
          <w:color w:val="000000"/>
          <w:sz w:val="24"/>
          <w:szCs w:val="24"/>
        </w:rPr>
        <w:br/>
        <w:t xml:space="preserve">A dolgozat harmadik részében a magyarországi helyzetet igyekezünk bemutatni három, a gyakorlatból vett példa segítségével. Itthon a jogalkotó egyelőre nem érezte szükségét törvényi szintű szabályozásnak, így a szolgáltatókra bízta a felmerülő esetek során alkalmazandó eljárások megalkotását. Ezek bemutatása céljából az Origo Zrt. – mint az egyik legnagyobb hazai tartalomszolgáltató – gyakorlata kerül bemutatásra, a portfóliójuk tartozó három honlap (post.r, [freemail], iWiW) vonatkozó szabályzatain keresztül. Szintén a szolgáltatók válaszával találkozunk a netbank fiókokkal kapcsolatos szabályzatokban, itt az Erste Bank Zrt. gyakorlatát részletezzük. Az egyetlen jogalkotói reakciót az Ügyfélkapu fiók halál utáni jogi sorsával kapcsolatban találjuk itthon, ezt a kérdéskört egy kormányrendelet szabályozza, és alapvetően a közjegyző eljárása során kerül alkalmazásra.</w:t>
      </w:r>
      <w:r>
        <w:rPr>
          <w:color w:val="000000"/>
          <w:sz w:val="24"/>
          <w:szCs w:val="24"/>
        </w:rPr>
        <w:br/>
        <w:t xml:space="preserve">A záró fejezetekben pedig a magyar szabályozás előtt álló lehetséges jogalkotói utakat és megoldásokat vesszük számba, míg az összefoglaló részben átértékeljük a bevezetőben tett felvetéseinket.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54104">
    <w:multiLevelType w:val="hybridMultilevel"/>
    <w:lvl w:ilvl="0" w:tplc="29048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54104">
    <w:abstractNumId w:val="80254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773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