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SZABOLCS NÉMETH</w:t>
            </w:r>
          </w:p>
          <w:p w:rsidR="00C275A3" w:rsidRDefault="00A96AEC" w:rsidP="00C275A3">
            <w:pPr>
              <w:pStyle w:val="Hallgatokepzes"/>
            </w:pPr>
            <w:r>
              <w:t>Faculty of Law</w:t>
            </w:r>
            <w:r>
              <w:br/>
            </w:r>
            <w:r w:rsidR="00E77B23">
              <w:t>Unified, 7. semester</w:t>
            </w:r>
          </w:p>
          <w:p w:rsidR="00C265CE" w:rsidRPr="009E5FF1" w:rsidRDefault="00E77B23" w:rsidP="00C275A3">
            <w:pPr>
              <w:pStyle w:val="Hallgatokepzes"/>
              <w:rPr>
                <w:b/>
                <w:caps/>
              </w:rPr>
            </w:pPr>
            <w:r>
              <w:t>Károli Gáspár University of the Reformed Church in Hungary</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András Tóth, PhD</w:t>
            </w:r>
          </w:p>
          <w:p w:rsidR="00DB4822" w:rsidRDefault="00DB4822" w:rsidP="00E11062">
            <w:pPr>
              <w:pStyle w:val="Konzulensek"/>
            </w:pPr>
            <w:r w:rsidRPr="00DB4822">
              <w:t>head of department associate professor, KRE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legal aspects of our online data after death</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subject of the study is the legal aspects of our online data after death. In the introductory chapter we refer to some statistics that show, how enormous the amount of the data is we create daily, on the internet. We introduce the motivations which can possibly come up from the aspect of the successors when they are trying to access to the data of the deceased person, just as the reasons why a person want to hide his online data from his relatives for the case of his decease. We review these motivations by the types of the online data.</w:t>
      </w:r>
      <w:r>
        <w:rPr>
          <w:color w:val="000000"/>
          <w:sz w:val="24"/>
          <w:szCs w:val="24"/>
        </w:rPr>
        <w:br/>
        <w:t xml:space="preserve">Thereafter we introduce the two types of the answers to our questions in connection with the topic by the legislative power. At first, the answers of the legal system of the United States, where eight states (Connecticut, Rhode Island, Indiana, Oklahoma, Idaho, Nevada, Virginia, Delaware) have already enacted acts about our topic, and there are three relevant federal laws: one is about the criminal consequences of unauthorized access, one is about the aspects of privacy. The third one regulates exactly the topic of the study.</w:t>
      </w:r>
      <w:r>
        <w:rPr>
          <w:color w:val="000000"/>
          <w:sz w:val="24"/>
          <w:szCs w:val="24"/>
        </w:rPr>
        <w:br/>
        <w:t xml:space="preserve">In the third part of the study we introduce another kind of legislative approach, when the service providers can lay down their own rules and proceedings. We review the effective terms of use regulation through the practice of one of the biggest Hungarian content providers, Origo Zrt., and three of their websites (post.r, [freemail], iWiW). In connection with the topic of netbanking, we review the rules of Erste Bank Zrt. The only issue, which is regulated by the Hungarian legislature is the legal aspects of the “Ügyfélkapu” account after death, which is regulated in a government decree and comes up during the proceeding of the public notary.</w:t>
      </w:r>
      <w:r>
        <w:rPr>
          <w:color w:val="000000"/>
          <w:sz w:val="24"/>
          <w:szCs w:val="24"/>
        </w:rPr>
        <w:br/>
        <w:t xml:space="preserve">At the end of the study, we offer some solutions and techniques for the legislation in Hungary for the future and reconsider our suggestions and statements in the introductory chapter.</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923390">
    <w:multiLevelType w:val="hybridMultilevel"/>
    <w:lvl w:ilvl="0" w:tplc="880333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923390">
    <w:abstractNumId w:val="679233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468957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