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POHL ÁKOS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Ercsey Zsombor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Könyörtelen behajtás vagy tisztességes beszedés? Az adózói jogok érvényesülése az adóigazgatási eljárásban, különös tekintettel az ellenőrzés szakaszára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tárgyát képező kérdéskör kiválasztásánál szem előtt tartottam, hogy az adójog területén, egy a jogban nem jártas ember számára is érdekfeszítő témában vizsgálódjak. A vizsgált téma aktualitása ered egyfelől a média kiemelt figyelméből, mely összefügg személyes motiváltságommal, másrészt az adóigazgatási eljárást övező folyamatosan változó jogszabályi környezetből, melynek köszönhetően vizsgálódásokat folytathattam egészen, az adóhatóság által operatív tevékenysége során alkalmazott online eszközökig.</w:t>
      </w:r>
      <w:r>
        <w:rPr>
          <w:color w:val="000000"/>
          <w:sz w:val="24"/>
          <w:szCs w:val="24"/>
        </w:rPr>
        <w:br/>
        <w:t xml:space="preserve">Munkám célkitűzése egyrészt annak vizsgálata, hogy a hatályos jogszabályi környezet megfelel-e az adózói jogok megfelelő szintű érvényesülésének, továbbá kutattam, hogy az adóhatóság által a helyszíni ellenőrzések során a gyakorlatban tapasztalt ellenőrzési módszerek, valamint az ellenőrzések gyakorisága nem ütközik-e a hatályos jogszabályi előírásokba.</w:t>
      </w:r>
      <w:r>
        <w:rPr>
          <w:color w:val="000000"/>
          <w:sz w:val="24"/>
          <w:szCs w:val="24"/>
        </w:rPr>
        <w:br/>
        <w:t xml:space="preserve">A felhasznált szakirodalom relevanciájában, leginkább a kritikai forráselemzés módszerét alkalmaztam, továbbá lehetőségem nyílt dolgozatom soraiba illeszteni egy, az adóhatóság operatív ellenőrzéseiben nagy jártassággal rendelkező adórevizor gyakorlatban szerzett tapasztalatait és kritikáit.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Vizsgálódásaim főbb tárgykörei:</w:t>
      </w:r>
      <w:r>
        <w:rPr>
          <w:color w:val="000000"/>
          <w:sz w:val="24"/>
          <w:szCs w:val="24"/>
        </w:rPr>
        <w:br/>
        <w:t xml:space="preserve">- a közteherviselés kötelezettségének változása az Alaptörvényben,</w:t>
      </w:r>
      <w:r>
        <w:rPr>
          <w:color w:val="000000"/>
          <w:sz w:val="24"/>
          <w:szCs w:val="24"/>
        </w:rPr>
        <w:br/>
        <w:t xml:space="preserve">- a jóhiszemű eljárás követelményének adózókra való szűkítése az adózás rendjéről szóló törvényben,</w:t>
      </w:r>
      <w:r>
        <w:rPr>
          <w:color w:val="000000"/>
          <w:sz w:val="24"/>
          <w:szCs w:val="24"/>
        </w:rPr>
        <w:br/>
        <w:t xml:space="preserve">- online pénztárgépek bevezetésének nehézségei az adózók számára,</w:t>
      </w:r>
      <w:r>
        <w:rPr>
          <w:color w:val="000000"/>
          <w:sz w:val="24"/>
          <w:szCs w:val="24"/>
        </w:rPr>
        <w:br/>
        <w:t xml:space="preserve">- az iratbetekintéshez való jog szabályozásának az adózói jogokra vetített lehetséges káros következményei,</w:t>
      </w:r>
      <w:r>
        <w:rPr>
          <w:color w:val="000000"/>
          <w:sz w:val="24"/>
          <w:szCs w:val="24"/>
        </w:rPr>
        <w:br/>
        <w:t xml:space="preserve">- a rendeltetésellenes joggyakorlás megállapításának problematikája a bírói gyakorlatban,</w:t>
      </w:r>
      <w:r>
        <w:rPr>
          <w:color w:val="000000"/>
          <w:sz w:val="24"/>
          <w:szCs w:val="24"/>
        </w:rPr>
        <w:br/>
        <w:t xml:space="preserve">- a tájékoztatáshoz való jog és a kitanítási kötelezettség csorbái a gyakorlatban,</w:t>
      </w:r>
      <w:r>
        <w:rPr>
          <w:color w:val="000000"/>
          <w:sz w:val="24"/>
          <w:szCs w:val="24"/>
        </w:rPr>
        <w:br/>
        <w:t xml:space="preserve">- fedőtörténetek, álcaruha, ”szivacsok” és ehhez hasonló módszerek megjelenése az adóhatóság operatív tevékenysége során, valamint</w:t>
      </w:r>
      <w:r>
        <w:rPr>
          <w:color w:val="000000"/>
          <w:sz w:val="24"/>
          <w:szCs w:val="24"/>
        </w:rPr>
        <w:br/>
        <w:t xml:space="preserve">- az e-áruházakat üzemeltetők áfa-felszámítási nehézségei a gyakorlatban.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zárásaként főbb következtetéseimet, megállapításaimat és javaslataimat ismertetem: de lege ferenda.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34436">
    <w:multiLevelType w:val="hybridMultilevel"/>
    <w:lvl w:ilvl="0" w:tplc="14735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34436">
    <w:abstractNumId w:val="675344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162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