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POHL</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Zsombor Ercsey PHD</w:t>
            </w:r>
          </w:p>
          <w:p w:rsidR="00DB4822" w:rsidRDefault="00DB4822" w:rsidP="00E11062">
            <w:pPr>
              <w:pStyle w:val="Konzulensek"/>
            </w:pPr>
            <w:r w:rsidRPr="00DB4822">
              <w:t>assistant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Relentless aggregation or righteous collection? The enforcement of taxpayers’ rights in the tax administration procedure, particularly in the control phase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on which this paper is based on had been selected from the field of tax law, in order to be interesting even for a layman. The topicality thereof derives from the focus of the media on the one hand, which is in connected with the personal motivation of the author as well, and, on the other hand, the continually changing regulation on tax procedure, as a result of which even the online tools used in the operative activities of the revenue office were analyzed.</w:t>
      </w:r>
      <w:r>
        <w:rPr>
          <w:color w:val="000000"/>
          <w:sz w:val="24"/>
          <w:szCs w:val="24"/>
        </w:rPr>
        <w:br/>
        <w:t xml:space="preserve">This paper aims to scrutinize, whether the effective legal regulation provides that the taxpayers’ rights are enforced in an appropriate level, furthermore whether the control measures used by the tax authorities during the site inspections and the of the tax control are in compliance with the corresponding provisions.</w:t>
      </w:r>
      <w:r>
        <w:rPr>
          <w:color w:val="000000"/>
          <w:sz w:val="24"/>
          <w:szCs w:val="24"/>
        </w:rPr>
        <w:br/>
        <w:t xml:space="preserve">Regarding the relevance of the literature, mainly the critical analysis of the sources was used, furthermore the paper has been completed with the experience and critics of a tax investigator, who has great experience in operative control.</w:t>
      </w:r>
      <w:r>
        <w:rPr>
          <w:color w:val="000000"/>
          <w:sz w:val="24"/>
          <w:szCs w:val="24"/>
        </w:rPr>
        <w:br/>
        <w:t xml:space="preserve">The major fields of the research are the following:</w:t>
      </w:r>
      <w:r>
        <w:rPr>
          <w:color w:val="000000"/>
          <w:sz w:val="24"/>
          <w:szCs w:val="24"/>
        </w:rPr>
        <w:br/>
        <w:t xml:space="preserve">• the amendments of the provisions on public burden in the Fundamental Law of Hungary,</w:t>
      </w:r>
      <w:r>
        <w:rPr>
          <w:color w:val="000000"/>
          <w:sz w:val="24"/>
          <w:szCs w:val="24"/>
        </w:rPr>
        <w:br/>
        <w:t xml:space="preserve">• the obligation of acting in good faith to be applied narrowed only to taxpayers according to the act on the rules of taxation,</w:t>
      </w:r>
      <w:r>
        <w:rPr>
          <w:color w:val="000000"/>
          <w:sz w:val="24"/>
          <w:szCs w:val="24"/>
        </w:rPr>
        <w:br/>
        <w:t xml:space="preserve">• the taxpayers’ difficulties for introducing the online cashiers,</w:t>
      </w:r>
      <w:r>
        <w:rPr>
          <w:color w:val="000000"/>
          <w:sz w:val="24"/>
          <w:szCs w:val="24"/>
        </w:rPr>
        <w:br/>
        <w:t xml:space="preserve">• the possible negative effects of the regulation on document review for the taxpayers,</w:t>
      </w:r>
      <w:r>
        <w:rPr>
          <w:color w:val="000000"/>
          <w:sz w:val="24"/>
          <w:szCs w:val="24"/>
        </w:rPr>
        <w:br/>
        <w:t xml:space="preserve">• the problem of establishment of the abuse of rights in the judicial practice,</w:t>
      </w:r>
      <w:r>
        <w:rPr>
          <w:color w:val="000000"/>
          <w:sz w:val="24"/>
          <w:szCs w:val="24"/>
        </w:rPr>
        <w:br/>
        <w:t xml:space="preserve">• breaching the right to information in practice,</w:t>
      </w:r>
      <w:r>
        <w:rPr>
          <w:color w:val="000000"/>
          <w:sz w:val="24"/>
          <w:szCs w:val="24"/>
        </w:rPr>
        <w:br/>
        <w:t xml:space="preserve">• cover stories, camouflage dress, ‘sponges’ (undercover contributor), and similar methods occurring in the operative activities of the revenue office, furthermore</w:t>
      </w:r>
      <w:r>
        <w:rPr>
          <w:color w:val="000000"/>
          <w:sz w:val="24"/>
          <w:szCs w:val="24"/>
        </w:rPr>
        <w:br/>
        <w:t xml:space="preserve">• the VAT difficulties of the e-shop operators in practice.</w:t>
      </w:r>
      <w:r>
        <w:rPr>
          <w:color w:val="000000"/>
          <w:sz w:val="24"/>
          <w:szCs w:val="24"/>
        </w:rPr>
        <w:br/>
        <w:t xml:space="preserve">As the closure of the paper, de lege ferenda proposals are made based on the major conclusions and remarks.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31230">
    <w:multiLevelType w:val="hybridMultilevel"/>
    <w:lvl w:ilvl="0" w:tplc="76929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31230">
    <w:abstractNumId w:val="23731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091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