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BOROS LUCA</w:t>
            </w:r>
          </w:p>
          <w:p w:rsidR="00C275A3" w:rsidRDefault="00A96AEC" w:rsidP="00C275A3">
            <w:pPr>
              <w:pStyle w:val="Hallgatokepzes"/>
            </w:pPr>
            <w:r>
              <w:t>Jogász</w:t>
            </w:r>
            <w:r>
              <w:br/>
            </w:r>
            <w:r w:rsidR="00E77B23">
              <w:t>Osztatlan, 8. félév</w:t>
            </w:r>
          </w:p>
          <w:p w:rsidR="00C265CE" w:rsidRPr="009E5FF1" w:rsidRDefault="00E77B23" w:rsidP="00C275A3">
            <w:pPr>
              <w:pStyle w:val="Hallgatokepzes"/>
              <w:rPr>
                <w:b/>
                <w:caps/>
              </w:rPr>
            </w:pPr>
            <w:r>
              <w:t>Károli Gáspár Református 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Cservák Csaba</w:t>
            </w:r>
          </w:p>
          <w:p w:rsidR="00DB4822" w:rsidRDefault="00DB4822" w:rsidP="00E11062">
            <w:pPr>
              <w:pStyle w:val="Konzulensek"/>
            </w:pPr>
            <w:r w:rsidRPr="00DB4822">
              <w:t>tanszékvezető egyetemi docens, KRE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Gyermekek jogai a médiában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gyermek. A jövő társadalmának alapköve, a jövő reménysége, a jövő felnőttje. Bármelyikre is gondolunk, egy biztos: a gyermek a mindenkori jelen társadalmának és felnőttjének felelőssége és lehetősége.</w:t>
      </w:r>
      <w:r>
        <w:rPr>
          <w:color w:val="000000"/>
          <w:sz w:val="24"/>
          <w:szCs w:val="24"/>
        </w:rPr>
        <w:br/>
        <w:t xml:space="preserve">Persze létfontosságú, de nem elegendő „csupán” szeretetteljes légkört és biztonságos családi háttere biztosítani a gyermeknek. Annak tudatában kell védelmezni, nevelni és kialakítani környezetét, hogy olyan felnőtt váljon belőle, aki szintén képes lesz ugyanerre. Aki képes lesz önálló döntéseket hozni, aki képes megfelelő választ adni társadalmi kérdésekre és problémákra, aki empatikus, és aki tudja, érzi a jó és rossz, a helyes és helytelen közötti különbségeket.</w:t>
      </w:r>
      <w:r>
        <w:rPr>
          <w:color w:val="000000"/>
          <w:sz w:val="24"/>
          <w:szCs w:val="24"/>
        </w:rPr>
        <w:br/>
        <w:t xml:space="preserve">Mindehhez elengedhetetlen, hogy a gyermeket ne csak otthon védjük, hanem „kint a nagyvilágban”, a társadalomban is. Morális axióma, hogy a gyermek különleges védelemre méltó. Ehhez kívánnak hozzájárulni jogrendszerünk jogszabályai, jogintézményei és a jogvédelmi intézmények, hatóságok.</w:t>
      </w:r>
      <w:r>
        <w:rPr>
          <w:color w:val="000000"/>
          <w:sz w:val="24"/>
          <w:szCs w:val="24"/>
        </w:rPr>
        <w:br/>
        <w:t xml:space="preserve">Vannak estek, amikor ez a védelem egyszerűbb. A szabály világos, a jogsértés egyértelmű, a sérelem orvosolható és mindehhez a megfelelő hatóság, szerv is rendelkezésre áll, amely foganatosíthatja a szankciót, kísérletet tehet az eredeti állapot helyreállítására és a veszélyek megelőzésére.</w:t>
      </w:r>
      <w:r>
        <w:rPr>
          <w:color w:val="000000"/>
          <w:sz w:val="24"/>
          <w:szCs w:val="24"/>
        </w:rPr>
        <w:br/>
        <w:t xml:space="preserve">Ám vannak helyzetek, amikor ezek a határvonalak közel sem ilyen egyértelműek és jól felismerhetőek. Ráadásul van, hogy pont ott nem találjuk ezeket a határvonalakat, ahol az átlagosnál nagyobb szükség lenne rájuk. Ilyen határsáv a média és a gyermeki jogok találkozásának területe.</w:t>
      </w:r>
      <w:r>
        <w:rPr>
          <w:color w:val="000000"/>
          <w:sz w:val="24"/>
          <w:szCs w:val="24"/>
        </w:rPr>
        <w:br/>
        <w:t xml:space="preserve">Az talán vitán felül álló, hogy a média gyakorolja az egyik legnagyobb hatást a mai gyermekek gondolkodására, én-képére és értékrendjére. Ez, és az Alaptörvényben deklarált állami kötelezettség – a gyermek joga a megfelelő testi, szellemi és erkölcsi fejlődéshez szükséges védelemhez és gondoskodáshoz – alapján a média gyermekjogi szemléletű szabályozása kikerülhetetlen. Ám még a gyermekek jogai sem szoríthatják teljesen háttérbe a sajtó és a véleménynyilvánítás szabadságát, vagy a társadalmi környezetből fakadó adottságokat és körülményeket.</w:t>
      </w:r>
      <w:r>
        <w:rPr>
          <w:color w:val="000000"/>
          <w:sz w:val="24"/>
          <w:szCs w:val="24"/>
        </w:rPr>
        <w:br/>
        <w:t xml:space="preserve">A dolgozat ezen jogok és értékek kollíziójából és konfliktusából eredő kérdéseket igyekszik megválaszolni úgy, hogy mindeközben a gyermeki jogokhoz is megpróbál a szokásostól eltérően, másként közelíteni.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840198">
    <w:multiLevelType w:val="hybridMultilevel"/>
    <w:lvl w:ilvl="0" w:tplc="320236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840198">
    <w:abstractNumId w:val="7884019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8044142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