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BOROS</w:t>
            </w:r>
          </w:p>
          <w:p w:rsidR="00C275A3" w:rsidRDefault="00A96AEC" w:rsidP="00C275A3">
            <w:pPr>
              <w:pStyle w:val="Hallgatokepzes"/>
            </w:pPr>
            <w:r>
              <w:t>Faculty of law</w:t>
            </w:r>
            <w:r>
              <w:br/>
            </w:r>
            <w:r w:rsidR="00E77B23">
              <w:t>Unified, 8.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Cservák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Children's rights in the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The basis of the future society, the hope of the future and the adults of the future. Think anyone of these it is sure that the children are the responsibility and the opportunity of the current society and adults.</w:t>
      </w:r>
      <w:r>
        <w:rPr>
          <w:color w:val="000000"/>
          <w:sz w:val="24"/>
          <w:szCs w:val="24"/>
        </w:rPr>
        <w:br/>
        <w:t xml:space="preserve">Of course it is essential but it isn’t enough to create a good atmosphere and a safety family background to the child. He or she has to be protected and brought up in the favour of becoming an adult, who can do the same later. Who is able to make a decision independently, who is able to answer the questions and problems of the society and who is aware of good and bad, correct and incorrect.</w:t>
      </w:r>
      <w:r>
        <w:rPr>
          <w:color w:val="000000"/>
          <w:sz w:val="24"/>
          <w:szCs w:val="24"/>
        </w:rPr>
        <w:br/>
        <w:t xml:space="preserve">To all of this it is very important to protect the child in the “big World” as well. It is a moral axiom that the child is worthy to a special treatment. And in our jurisdiction there are lot acts, lows and institutions which help us to hold on.</w:t>
      </w:r>
      <w:r>
        <w:rPr>
          <w:color w:val="000000"/>
          <w:sz w:val="24"/>
          <w:szCs w:val="24"/>
        </w:rPr>
        <w:br/>
        <w:t xml:space="preserve">There are situations when the protection is simple, the regulation is clear and the suitable institution is well-known. But we can also face situations when limits are not as clear, e.g. the collision of the children’s right and the media.</w:t>
      </w:r>
      <w:r>
        <w:rPr>
          <w:color w:val="000000"/>
          <w:sz w:val="24"/>
          <w:szCs w:val="24"/>
        </w:rPr>
        <w:br/>
        <w:t xml:space="preserve">This study tries to deal with questions and conflicts derive from the above mentioned collisions.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25408">
    <w:multiLevelType w:val="hybridMultilevel"/>
    <w:lvl w:ilvl="0" w:tplc="88033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25408">
    <w:abstractNumId w:val="38625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498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