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DRAHOTA ANETT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kulturális örökség védelmének büntetőjogi eszközei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kultúrák folyamán létrejött, megőrzött, a kulturális örökség körébe tartozó kiemelkedő értékek, a történelmi korszakok sajátosságainak, hazánk múltjának és hagyományainak az őrzője. Az e tárgykörbe tartozó felbecsülhetetlen értékű és pótolhatatlan javakat ahhoz, hogy a jövő generációi számára fennmaradjon, fokozott védelemben kell részesíteni.</w:t>
      </w:r>
      <w:r>
        <w:rPr>
          <w:color w:val="000000"/>
          <w:sz w:val="24"/>
          <w:szCs w:val="24"/>
        </w:rPr>
        <w:br/>
        <w:t xml:space="preserve">Kutatómunkám során a kulturális örökség büntetőjogi védelmére vonatkozó szakirodalom feldolgozására, a jogi szabályozás hiányosságainak feltárására, valamint a szakirodalomban fellelhető problémák összegzésére és megoldási javaslatok elemzésére törekedtem. Empirikus kutatás formájában kívántam megközelíteni a témát, de nem találtam olyan esetet, ahol jogerős bírósági ítéletben elítéltek volna valakit Magyarországon.</w:t>
      </w:r>
      <w:r>
        <w:rPr>
          <w:color w:val="000000"/>
          <w:sz w:val="24"/>
          <w:szCs w:val="24"/>
        </w:rPr>
        <w:br/>
        <w:t xml:space="preserve">Elsődlegesen a kulturális örökségvédelem történeti fejlődését vizsgálva az integrált örökségvédelem intézményének magyarországi kialakulását elemeztem és megállapítottam, hogy a jelenleg is hatályos „A kulturális örökség védelméről” szóló 2001. évi LXIV. törvény nagy előrelépést jelentett; hiszen megteremtette az egységes kulturális örökségvédelem fogalmát, amely kiterjed a régészeti örökség, a műemlékek és a kulturális javak védelmére. Ezt követően a büntetőjog szabályozási körébe tartozó problémákat vetettem fel; kezdve a régészeti lelőhelyek kérdésével. A következőkben konstatáltam, hogy a hazai jogrendszerben a legnagyobb problémát a műtárgyhamisítás kérdésének jogi tisztázatlansága jelenti. Megállapítottam, hogy hatályos szabályozásunk nem foglalja magában a hamisítás, a másolat, illetve az utánzat fogalmának meghatározását, egymástól való elhatárolását. Úgy ítélem meg, hogy sürgetővé vált e definíciók törvényi szintű szabályozása. Álláspontom szerint a műtárgyhamisítást a Büntető Törvénykönyvben külön tényállásként kellene feltüntetni. A problémák felvetése után a szakirodalomban megfogalmazásra került – általam is relevánsnak tartott – megoldási javaslatokat vizsgáltam; nevezetesen a hiteles szakértői tevékenység feltételeinek a megteremtését, a műkereskedelmi törvény kidolgozását és a vitatott eredetű műtárgyak adatbázisának a létrehozását.</w:t>
      </w:r>
      <w:r>
        <w:rPr>
          <w:color w:val="000000"/>
          <w:sz w:val="24"/>
          <w:szCs w:val="24"/>
        </w:rPr>
        <w:br/>
        <w:t xml:space="preserve">Tanulmányom célja a figyelem felkeltése e téma iránt. Úgy vélem, megálljt kell parancsolni kulturális örökségünk további torzításának és csonkításának, hogy hazánk értékei – a jövő számára – tovább őrizhessék a bennük rejlő, felfedezésre váró, múltbéli titkokat és továbbra is egy nép összetartozását és identitását szolgálhassák.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83495">
    <w:multiLevelType w:val="hybridMultilevel"/>
    <w:lvl w:ilvl="0" w:tplc="97309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83495">
    <w:abstractNumId w:val="88883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015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