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FODOR BALÁZS</w:t>
            </w:r>
          </w:p>
          <w:p w:rsidR="00C275A3" w:rsidRDefault="00A96AEC" w:rsidP="00C275A3">
            <w:pPr>
              <w:pStyle w:val="Hallgatokepzes"/>
            </w:pPr>
            <w:r>
              <w:t>Jogász</w:t>
            </w:r>
            <w:r>
              <w:br/>
            </w:r>
            <w:r w:rsidR="00E77B23">
              <w:t>Osztatlan, 7. félév</w:t>
            </w:r>
          </w:p>
          <w:p w:rsidR="00C265CE" w:rsidRPr="009E5FF1" w:rsidRDefault="00E77B23" w:rsidP="00C275A3">
            <w:pPr>
              <w:pStyle w:val="Hallgatokepzes"/>
              <w:rPr>
                <w:b/>
                <w:caps/>
              </w:rPr>
            </w:pPr>
            <w:r>
              <w:t>Károli Gáspár Református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Deres Petronella</w:t>
            </w:r>
          </w:p>
          <w:p w:rsidR="00DB4822" w:rsidRDefault="00DB4822" w:rsidP="00E11062">
            <w:pPr>
              <w:pStyle w:val="Konzulensek"/>
            </w:pPr>
            <w:r w:rsidRPr="00DB4822">
              <w:t>tanszékvezető egyetemi docens,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Áfa-csalás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Áfa csalások kapcsán elfogadott tény, hogy szinte minden gazdasági szektor fertőzött a jelenséggel és Magyarország költségvetésének közel 1000 milliárd forintos kárt okoz. Részben ezért is jogalkotó a költségvetés hatékonyabb védelme érdekében megalkotta a költségvetési csalás tényállását, amiben több korábbi tényállást vont össze.</w:t>
      </w:r>
      <w:r>
        <w:rPr>
          <w:color w:val="000000"/>
          <w:sz w:val="24"/>
          <w:szCs w:val="24"/>
        </w:rPr>
        <w:br/>
        <w:t xml:space="preserve">Dolgozatom témája ezen belül a korábbi adócsalás tényállásával üldözött áfára elkövetett eseteket taglalja. Vizsgálom ebben az új és a régi tényállást, a nem túl nagyszámú tudományos munkát, ami a témában született, összevetem a kommentárokat, elemzek több mint 100 bírósági határozatot az ügyben és kisebb külföldi kitekintést is teszek.</w:t>
      </w:r>
      <w:r>
        <w:rPr>
          <w:color w:val="000000"/>
          <w:sz w:val="24"/>
          <w:szCs w:val="24"/>
        </w:rPr>
        <w:br/>
        <w:t xml:space="preserve">Ezekben számos kérdés merül fel mind adójogi, mind büntetőjogi értelemben, mint például mely, magatartások büntetőjog ellenesek és melyek csak adójog ellenesek. Ezen kívül mely adónemek esetében lehet büntetőjogi felelősséget megállapítani. Alkalmazható-e becslési eljárás büntető ügyben. Kitérek az önellenőrzések büntethetőségre gyakorolt hatására. Felvetem a tipikus elkövetői alakzatok kérdését, mint strohmannok, számlagyárak esete. A bűnösség esetkörében a könyvelő igénybevételét taglalom, mint a tévedés esetleges forrását. A rendbeliségek kérdésénél a folytatólagosság új tényállásban felmerülő megállapíthatóságát vizsgálom, ami számos más kérdésre is kihatással van. A minősített eseteknél górcső alá veszem az üzletszerűség kérdését, mint tipikus körülményt az Áfa csalások esetében és ennek eltérő megállapítási gyakorlatát. Végül a büntetések kérdéskörénél az időbeli hatály és a súlyosítás várható eredményeit vizsgálom.</w:t>
      </w:r>
      <w:r>
        <w:rPr>
          <w:color w:val="000000"/>
          <w:sz w:val="24"/>
          <w:szCs w:val="24"/>
        </w:rPr>
        <w:br/>
        <w:t xml:space="preserve">Majd ezekből vonok le következtetéseket és teszek szerény javaslatot jogalkotó és jogalkalmazó számára a korlátlan enyhítés, önfeljelentés, üzletszerűség, mint minősítő körülmény és a szankció rendszer felülvizsgálata kapcsán és vetem fel a társadalmi elítélés fontosságát az adó büntetőjog területén. Hiszen ahogy Molnár Gábor Miklós írta: „Az adójog jogiasabb szemlélete deformálhatja az egyénekben benne rejlő letisztult és alapvetően az emberi természetből is fakadó olyan morális tartalmakat, amelyekre a büntetőjog építkezik.”</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754316">
    <w:multiLevelType w:val="hybridMultilevel"/>
    <w:lvl w:ilvl="0" w:tplc="173118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754316">
    <w:abstractNumId w:val="787543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66249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