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BALÁZS FODOR</w:t>
            </w:r>
          </w:p>
          <w:p w:rsidR="00C275A3" w:rsidRDefault="00A96AEC" w:rsidP="00C275A3">
            <w:pPr>
              <w:pStyle w:val="Hallgatokepzes"/>
            </w:pPr>
            <w:r>
              <w:t>Law</w:t>
            </w:r>
            <w:r>
              <w:br/>
            </w:r>
            <w:r w:rsidR="00E77B23">
              <w:t>Unified, 7. semester</w:t>
            </w:r>
          </w:p>
          <w:p w:rsidR="00C265CE" w:rsidRPr="009E5FF1" w:rsidRDefault="00E77B23" w:rsidP="00C275A3">
            <w:pPr>
              <w:pStyle w:val="Hallgatokepzes"/>
              <w:rPr>
                <w:b/>
                <w:caps/>
              </w:rPr>
            </w:pPr>
            <w:r>
              <w:t>Károli Gáspár University of the Reformed Church in Hungary</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Petronella Deres Phd</w:t>
            </w:r>
          </w:p>
          <w:p w:rsidR="00DB4822" w:rsidRDefault="00DB4822" w:rsidP="00E11062">
            <w:pPr>
              <w:pStyle w:val="Konzulensek"/>
            </w:pPr>
            <w:r w:rsidRPr="00DB4822">
              <w:t>head of department associate professor, KRE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budgetary fraud committed on VAT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Consideration must be given to fraud patterns in the field of value added tax which are quite emblematic in all economic sectors, estimated to amount to 1000 billion forint loss in the annual budget of Hungary. In order to defend the budget in a more efficient way, the fact pattern of "budgetary fraud" was adopted by the legislation, on the basis of several previous factual situations.</w:t>
      </w:r>
      <w:r>
        <w:rPr>
          <w:color w:val="000000"/>
          <w:sz w:val="24"/>
          <w:szCs w:val="24"/>
        </w:rPr>
        <w:br/>
        <w:t xml:space="preserve">The topic of my essay covers in particular the cases connected to former fact patterns linked to frauds in value added tax category. I intend to study the former and the operative fact pattern as well the academic studies referring to the subject that are available in small numbers. I wish to summarize the comments and analyze more than a hundred verdicts of higher courts. With my work I also try to get an inside view of cases in foreign law.</w:t>
      </w:r>
      <w:r>
        <w:rPr>
          <w:color w:val="000000"/>
          <w:sz w:val="24"/>
          <w:szCs w:val="24"/>
        </w:rPr>
        <w:br/>
        <w:t xml:space="preserve">Several issues also come up with tax law and criminal law, for example what sort of practices can be used against the criminal law and which ones are there against tax law. Furthermore, in connection with which taxes can the fact of criminal liability be determined? Can the estimation procedure be applied? I pay attention to the effect of the self-control to the culpableness. I study the typical perpetrator forms such as the phenomena of „strohmann” and „bill-factories”. In connection with the culpableness, I have a closer look at the responsibility of bookkeepers as a sourse of eventual reason of errors. I observe the question of aglomeration if in the new fact pattern the case of sequency can be verified which has an inevitable effect on further issues. I dissect the businesswise approach in qualified cases that can be regarded as a typical condition in VAT frauds as well as their divergent verification in practice . In the end, in the topic of penalties I study the expectable results of temporal effect and the aggravation.</w:t>
      </w:r>
      <w:r>
        <w:rPr>
          <w:color w:val="000000"/>
          <w:sz w:val="24"/>
          <w:szCs w:val="24"/>
        </w:rPr>
        <w:br/>
        <w:t xml:space="preserve">Finally, I draw a conclusion and make decent proposals for the legislature and the law enforcement about the unlimited mitigation, self-accusation, businesslikeness as an aggravating circumstance and in connection of the review of the sanction-system I emphasize the importance of the social condemnation in the tax criminal law. As Gábor Miklós Molnár said: „ The more law-like approach of tax law can deform the pure moral intensions, stemming from human nature, in individuals, which the criminal law is built 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144460">
    <w:multiLevelType w:val="hybridMultilevel"/>
    <w:lvl w:ilvl="0" w:tplc="1315935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144460">
    <w:abstractNumId w:val="601444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244652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