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ÁGNES ORSOLYA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Deres Petronella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 veszíthetjük el őket. Fiatalkorú elkövetők elleni büntetőeljárások specialitásai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gyerekek és a fiatalok nem tárgyak. Nem csak statisztikai adatok vagy ügyek… Ők jelentik számunkra a jövőt. Nem veszíthetjük el őket.” Jo de Linde gondolatát választottam mottóul, hiszem dolgozatomban a fiatalkorú elkövetők ellen folytatott büntetőeljárások nyomozati szakának speciális vonásait és az egyes nyomozati cselekmények krimináltaktikai sajátosságait mutatom be, a rendes eljáráshoz képest a specialitásokra koncentrálva.</w:t>
      </w:r>
      <w:r>
        <w:rPr>
          <w:color w:val="000000"/>
          <w:sz w:val="24"/>
          <w:szCs w:val="24"/>
        </w:rPr>
        <w:br/>
        <w:t xml:space="preserve">A dolgozatomban főként a Btk. 16. § - ában felsorolt bűncselekményt elkövető és az elkövetés időpontjában a bűncselekmény következményeinek felismeréséhez szükséges belátással rendelkező 12. életévét betöltött, de a 14. életévét be nem töltött személyekkel foglalkozom. Ez a kiegészítés a fiatalkorú terhelt fogalmába 2013. július 1-től került be, így úgy gondolom, hogy e téma bárminemű feldolgozása aktuális és hasznos.</w:t>
      </w:r>
      <w:r>
        <w:rPr>
          <w:color w:val="000000"/>
          <w:sz w:val="24"/>
          <w:szCs w:val="24"/>
        </w:rPr>
        <w:br/>
        <w:t xml:space="preserve">Vizsgálatomat azért kezdtem, mert szerettem volna összegezni a bűnügyi eljárás nyomozati szakaszában a fiatalkorúakkal szemben alkalmazható módszereket. Igyekeztem bemutatni a bűnügyi nyomozói munkám során szerzett gyakorlati tapasztalataim mellett a kriminalisztikai és büntető eljárásjogi aspektusú ismereteket, kutatási eredményeket is. Elismert szakemberekkel: ügyészekkel, védőkkel, igazságügyi szakértővel folytattam beszélgetéseket, akiktől aktuális, naprakész információkat kaptam a témában.</w:t>
      </w:r>
      <w:r>
        <w:rPr>
          <w:color w:val="000000"/>
          <w:sz w:val="24"/>
          <w:szCs w:val="24"/>
        </w:rPr>
        <w:br/>
        <w:t xml:space="preserve">A kapcsolódó fogalmak ismertetése után bemutatom büntethetőség alsó határát nemzetközi vonatkozásban. Ezután az ügyészre, a védőre, a törvényes képviselőre vonatkozó speciális szabályokkal ismerkedhetnek meg. A bizonyítási eszközök és kényszerintézkedések specialitásai mellett olvashatnak a fiatalkorú terheltek gyanúsított kihallgatásáról, melyeket krimináltaktikai ajánlásokkal egészítettem ki. Bemutattam, hogy az új törvények egyre inkább törekednek a gyermekkorúak kihallgatásával kapcsolatos garanciális szabályok kiépítésére, például a gyermekmeghallgató szobák kialakítása kapcsán.</w:t>
      </w:r>
      <w:r>
        <w:rPr>
          <w:color w:val="000000"/>
          <w:sz w:val="24"/>
          <w:szCs w:val="24"/>
        </w:rPr>
        <w:br/>
        <w:t xml:space="preserve">Az igazságügyi szakértői vizsgálat kapcsán a büntetőjogi belátási képesség vizsgálatáról olvashatnak részletesen, valamint a legfrissebb statisztikai adatokat is közlöm.</w:t>
      </w:r>
      <w:r>
        <w:rPr>
          <w:color w:val="000000"/>
          <w:sz w:val="24"/>
          <w:szCs w:val="24"/>
        </w:rPr>
        <w:br/>
        <w:t xml:space="preserve">Ezen minimális ismeretek nélkül nehéz a büntetőeljárást velük szemben úgy lefolytatni, hogy az elősegítse a nevelésüket, a törvények iránti tiszteletük kialakítását, további cselekmények elkövetésétől való visszatartásukat, a bűnözés megelőzését. Remélem, hogy munkám a gyakorlatban is használható információkat tartalmaz, s eredményesen tudják forgatni a téma iránt érdeklődők.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02732">
    <w:multiLevelType w:val="hybridMultilevel"/>
    <w:lvl w:ilvl="0" w:tplc="99636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02732">
    <w:abstractNumId w:val="199027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79716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