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VIKTOR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Deres Petronella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előzetes letartóztatás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személyi szabadságot korlátozó kényszerintézkedések a szabályozásuk kezdetétől kezdve komoly vitatémául szolgálnak mind honi, mind nemzetközi szinten. Ezek a jogintézmények ugyanis az alkotmányos alapjogok megsértésének államilag szabályozott eszközeként vannak jelen, azonban az ártatlanság vélelmét felrúgva olyan terheltek esetében kerülnek elő, akik bűnösségéről jogerős bírósági ítélet még nem döntött.</w:t>
      </w:r>
      <w:r>
        <w:rPr>
          <w:color w:val="000000"/>
          <w:sz w:val="24"/>
          <w:szCs w:val="24"/>
        </w:rPr>
        <w:br/>
        <w:t xml:space="preserve">Ezért határoztam úgy, hogy ezt az igen kényes és nehéz kérdést veszem górcső alá az OTDK dolgozatomban, különös tekintettel arra, hogy a Magyarországon az elmúlt évtizedekben kialakult –szinte már fenntarthatatlan- börtönviszonyok létrejöttében véleményem szerint komoly jelentősége volt azon gyakorlatnak, miszerint a terhelteket leginkább érintő kényszerintézkedésként az előzetes letartóztatás jutott vezető szerephez.</w:t>
      </w:r>
      <w:r>
        <w:rPr>
          <w:color w:val="000000"/>
          <w:sz w:val="24"/>
          <w:szCs w:val="24"/>
        </w:rPr>
        <w:br/>
        <w:t xml:space="preserve">Ezen gondolatok metszéspontjából kiindulva jutottam el oda, hogy részletesen elemeztem az előzetes letartóztatás szabályozását, mind időtartam, mind elrendelés tekintetében. Ebben a szakaszban igyekeztem minden részletre kiterjedő vizsgálatot végezni, s ezzel alátámasztani azon teóriámat, miszerint az előzetes letartóztatás nem a tökéletes megoldás a terheltek jelenlétének biztosítására a büntetőeljárás során.</w:t>
      </w:r>
      <w:r>
        <w:rPr>
          <w:color w:val="000000"/>
          <w:sz w:val="24"/>
          <w:szCs w:val="24"/>
        </w:rPr>
        <w:br/>
        <w:t xml:space="preserve">A továbbiakban az ezt helyettesítő intézményrendszerrel foglalkoztam, melyet elsősorban a házi őrizet, a lakhelyelhagyási tilalom, valamint az óvadék jelentenek a honi jogforrások tekintetében. Ezen rendelkezések alkalmazásának gyakorlatára, elvi alapjaira, valamint a részletkérdések feltárására fordítottam főképp figyelmet a dolgozatom további részében.</w:t>
      </w:r>
      <w:r>
        <w:rPr>
          <w:color w:val="000000"/>
          <w:sz w:val="24"/>
          <w:szCs w:val="24"/>
        </w:rPr>
        <w:br/>
        <w:t xml:space="preserve">Végezetül azt az álláspontot alakítottam ki, hogy a magyarországi büntető-jogtudomány ugyan sok tekintetben nem tökéletes, ám mégis megfelelőképpen differenciált és a gyakorlatban használható helyettesítő intézményrendszert alakított ki a hatályos büntetőeljárási törvény szabályozásakor. Ugyanakkor azokat a tapasztalatokat, amelyek a hiányos területekkel kapcsolatban felmerültek, az eljövendő törvény létrehozásakor mindenképpen figyelembe kell venni és az optimális mértékű változtatásokat meg kell tenni, ám ehhez arra is szükség van, hogy a jogalkalmazók ne mellőzzék az előzetes letartóztatást helyettesítő intézkedéseket. Ezzel nem csak a büntetés-végrehajtási intézményeket lehetne tehermentesíteni, hanem a nyomozó, illetve elrendelő hatóságokat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43484">
    <w:multiLevelType w:val="hybridMultilevel"/>
    <w:lvl w:ilvl="0" w:tplc="52538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43484">
    <w:abstractNumId w:val="31043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2678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