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KÁRPÁTI</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Petronella Deres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detention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Coercive provisions when personal freedom is restricted are one of the most discussed topics not only in Hungary but also also in international criminal law from the beginning. These legal institutions are violation of basic constitutional rights presented under state control, but disregarding the presumption of innocence in the case of defendants whose criminality has not yet been decided by a final court judgment.</w:t>
      </w:r>
      <w:r>
        <w:rPr>
          <w:color w:val="000000"/>
          <w:sz w:val="24"/>
          <w:szCs w:val="24"/>
        </w:rPr>
        <w:br/>
        <w:t xml:space="preserve">That is why I decided to examine this delicate and difficult question in my OTDK dissertation particularly in view of that in Hungary in the last decades the detention became one of the main reasons of the unsustainable prison conditions. The cause of this process is that the prime coercive measure was the detention and not the replacement measures.</w:t>
      </w:r>
      <w:r>
        <w:rPr>
          <w:color w:val="000000"/>
          <w:sz w:val="24"/>
          <w:szCs w:val="24"/>
        </w:rPr>
        <w:br/>
        <w:t xml:space="preserve">I started from the intersection of thoughts as analyzing the pre-trial detention even in the regard of the period and the enactment process. In this stage I tried to be comprehensive to confirm my theory that the pre-trial detention is not the perfect solution to ensure the defendants presence through the criminal process.</w:t>
      </w:r>
      <w:r>
        <w:rPr>
          <w:color w:val="000000"/>
          <w:sz w:val="24"/>
          <w:szCs w:val="24"/>
        </w:rPr>
        <w:br/>
        <w:t xml:space="preserve">Hereafter I dealed with the institutional system of substitute dispositions which are the domestic custody, the reside ban and the bail in the Hungarian system. In the rest of my dissertation I paid attention to these provisions in practice, theoretical foundations, and to explore the issues in details.</w:t>
      </w:r>
      <w:r>
        <w:rPr>
          <w:color w:val="000000"/>
          <w:sz w:val="24"/>
          <w:szCs w:val="24"/>
        </w:rPr>
        <w:br/>
        <w:t xml:space="preserve">Finally, I formed my standpoint, as the Hungarian criminal jurisprudence evolved is not perfect in many ways, but sufficiently differentiated and usable system of the coercive measures in the system of criminal procedure law in force regulating. However, the experiences of the last measures has to be taken into consideration during the creation of the future criminal procedure act. However, to do these changes the appliers of the law should not ignore the coercive measures because with the using of these measures they could disencumber not just the prison system but also the investigating authorities and the issuing authorities.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76960">
    <w:multiLevelType w:val="hybridMultilevel"/>
    <w:lvl w:ilvl="0" w:tplc="39246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76960">
    <w:abstractNumId w:val="879769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5726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