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KUBISCH KÁROLY</w:t>
            </w:r>
          </w:p>
          <w:p w:rsidR="00C275A3" w:rsidRDefault="00A96AEC" w:rsidP="00C275A3">
            <w:pPr>
              <w:pStyle w:val="Hallgatokepzes"/>
            </w:pPr>
            <w:r>
              <w:t>Jogász</w:t>
            </w:r>
            <w:r>
              <w:br/>
            </w:r>
            <w:r w:rsidR="00E77B23">
              <w:t>Osztatlan, 9. félév</w:t>
            </w:r>
          </w:p>
          <w:p w:rsidR="00C265CE" w:rsidRPr="009E5FF1" w:rsidRDefault="00E77B23" w:rsidP="009763E0">
            <w:pPr>
              <w:pStyle w:val="Hallgatointezmeny-kar"/>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Domokos Andrea</w:t>
            </w:r>
          </w:p>
          <w:p w:rsidR="00DB4822" w:rsidRDefault="00DB4822" w:rsidP="009763E0">
            <w:pPr>
              <w:pStyle w:val="Konzulensektitulus"/>
            </w:pPr>
            <w:r w:rsidRPr="00DB4822">
              <w:t>egyetemi tanár,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okozati összefüggés vizsgálata a foglalkozás körében elkövetett veszélyeztetés bűncselekményének esetében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igyekszem bemutatni a foglalkozás körében elkövetett veszélyeztetés jogtörténeti ismertetését és a legfontosabb okszűrő és okkiválasztó elméleteket. A tényállás rövid bemutatásán túl a bírói gyakorlatból kiemelt néhány jogesettel illusztrálom az okozati összefüggéseket.</w:t>
      </w:r>
      <w:r>
        <w:rPr>
          <w:color w:val="000000"/>
          <w:sz w:val="24"/>
          <w:szCs w:val="24"/>
        </w:rPr>
        <w:br/>
        <w:t xml:space="preserve">A bírói gyakorlat által általában alkalmazott legfontosabb mérce a sine qua non formula (a létesítő ok és az eredmény között létrejövő jogilag értékelhető és lényeges feltételek összekapcsolódása) is megakadhat, az orvosi foglalkozásban „a szövődmény” vagy „a helytelen diagnózis” jogi megítéléséből eredő bizonytalanságból. Így elvész a bűncselekmény létrejöttéhez szükséges szakadatlan oksági lánc vagy a foglalkozási szabálysértés kívül esik a megsértett norma védelmi körén.</w:t>
      </w:r>
      <w:r>
        <w:rPr>
          <w:color w:val="000000"/>
          <w:sz w:val="24"/>
          <w:szCs w:val="24"/>
        </w:rPr>
        <w:br/>
        <w:t xml:space="preserve">A dolgozatban felvonultatott érvek alapján, de lege ferenda gondolatként fogalmazódik meg, hogy az orvosi hivatást érdemes lenne külön kezelni más foglakozási szabályoktól.</w:t>
      </w:r>
      <w:r>
        <w:rPr>
          <w:color w:val="000000"/>
          <w:sz w:val="24"/>
          <w:szCs w:val="24"/>
        </w:rPr>
        <w:br/>
        <w:t xml:space="preserve">Annak fényében, hogy</w:t>
      </w:r>
      <w:r>
        <w:rPr>
          <w:color w:val="000000"/>
          <w:sz w:val="24"/>
          <w:szCs w:val="24"/>
        </w:rPr>
        <w:br/>
        <w:t xml:space="preserve">1. az orvosi hivatás közvetlen tárgya a gyógyítás, az emberi élet testi épség megőrzése, amiből következik, hogy</w:t>
      </w:r>
      <w:r>
        <w:rPr>
          <w:color w:val="000000"/>
          <w:sz w:val="24"/>
          <w:szCs w:val="24"/>
        </w:rPr>
        <w:br/>
        <w:t xml:space="preserve">2. az orvosi beavatkozás szinte mindig együtt jár a gyógyítás természetéből fakadó olyan invazív beavatkozásokkal, melyek sokszor el nem hárítható kockázattal járnak,</w:t>
      </w:r>
      <w:r>
        <w:rPr>
          <w:color w:val="000000"/>
          <w:sz w:val="24"/>
          <w:szCs w:val="24"/>
        </w:rPr>
        <w:br/>
        <w:t xml:space="preserve">3. melyeket jellemzően nehéz elhatárolni a foglalkozási szabályszegéstől (a már említett megengedett szövődmény nehezen meghatározható kérdésköre miatt)</w:t>
      </w:r>
      <w:r>
        <w:rPr>
          <w:color w:val="000000"/>
          <w:sz w:val="24"/>
          <w:szCs w:val="24"/>
        </w:rPr>
        <w:br/>
        <w:t xml:space="preserve">kimondható, hogy különösen nehéz ezekben az esetekben a bűnösség bizonyítása, mert vagy nem is indul eljárás, vagy az okozati összefüggés – az említett okoknál fogva – nem, illetve nagyon nehezen bizonyítható.</w:t>
      </w:r>
      <w:r>
        <w:rPr>
          <w:color w:val="000000"/>
          <w:sz w:val="24"/>
          <w:szCs w:val="24"/>
        </w:rPr>
        <w:br/>
        <w:t xml:space="preserve">Ötven bírósági határozatot tekintettem át azt vizsgálva, hogy az egyes okozatossági elméletek hogyan jelennek meg és képeznek közös metszeteket a bírósági gyakorlat során létrejövő ítéleti indokolásokban. Azon álláspont mellett érvelek, hogy a bíró kötelező jelleggel tüntesse fel az ítéleti indoklásában az adott ügyben releváns oksági érveléshez felhasznált fogalmakat, elveket és rajzolja fel a teljes összefüggés rendszert, aminek alapján látja, vagy nem látja az okozati összefüggést.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66784">
    <w:multiLevelType w:val="hybridMultilevel"/>
    <w:lvl w:ilvl="0" w:tplc="77917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66784">
    <w:abstractNumId w:val="72066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286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