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KÁROLY KUBISCH</w:t>
            </w:r>
          </w:p>
          <w:p w:rsidR="00C275A3" w:rsidRDefault="00A96AEC" w:rsidP="00C275A3">
            <w:pPr>
              <w:pStyle w:val="Hallgatokepzes"/>
            </w:pPr>
            <w:r>
              <w:t>Faculty of Law</w:t>
            </w:r>
            <w:r>
              <w:br/>
            </w:r>
            <w:r w:rsidR="00E77B23">
              <w:t>Unified, 9. semester</w:t>
            </w:r>
          </w:p>
          <w:p w:rsidR="00C265CE" w:rsidRPr="009E5FF1" w:rsidRDefault="00E77B23" w:rsidP="00C275A3">
            <w:pPr>
              <w:pStyle w:val="Hallgatokepzes"/>
              <w:rPr>
                <w:b/>
                <w:caps/>
              </w:rPr>
            </w:pPr>
            <w:r>
              <w:t>Károli Gáspár University of the Reformed Church in Hungary</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Andrea Domokos Prof. Dr.</w:t>
            </w:r>
          </w:p>
          <w:p w:rsidR="00DB4822" w:rsidRDefault="00DB4822" w:rsidP="00E11062">
            <w:pPr>
              <w:pStyle w:val="Konzulensek"/>
            </w:pPr>
            <w:r w:rsidRPr="00DB4822">
              <w:t>professor, KRE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casual relationship among the crimes of endangerement committed in the line of profession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dissertation I try to present the legal historical description of endangerement comitted in the line of profession and the most important „casual-filter” and „casual-excretive” theories. In addition to presenting the factum of crime I illustrate the casual relationships with some cases highligthed from the judicial practice.</w:t>
      </w:r>
      <w:r>
        <w:rPr>
          <w:color w:val="000000"/>
          <w:sz w:val="24"/>
          <w:szCs w:val="24"/>
        </w:rPr>
        <w:br/>
        <w:t xml:space="preserve">The most important standards generally applied by the judicial practice is the „sine qua non formula” (engagemnet of legally relevant and essential conditions which created by the cause andt its result) but it can also „get stuck”, bacuse of the uncertainty of the legal interpretation of medical profession resulting from the „complication” or „wrong diagnosis”.</w:t>
      </w:r>
      <w:r>
        <w:rPr>
          <w:color w:val="000000"/>
          <w:sz w:val="24"/>
          <w:szCs w:val="24"/>
        </w:rPr>
        <w:br/>
        <w:t xml:space="preserve">So, the continual causal chain, which is necesarry to the evolving crime, get lost or the occupational misdemeanour is falls outside the scope of protection of the violated norm. Based on arguments of this dissertation we can draw up de lege ferenda idea that the medical profession should be treated separately from other professions.</w:t>
      </w:r>
      <w:r>
        <w:rPr>
          <w:color w:val="000000"/>
          <w:sz w:val="24"/>
          <w:szCs w:val="24"/>
        </w:rPr>
        <w:br/>
        <w:t xml:space="preserve">In view of that:</w:t>
      </w:r>
      <w:r>
        <w:rPr>
          <w:color w:val="000000"/>
          <w:sz w:val="24"/>
          <w:szCs w:val="24"/>
        </w:rPr>
        <w:br/>
        <w:t xml:space="preserve">1. the direct object of the medical profession is healing and preservation of human life and physical integrity, which implies that:</w:t>
      </w:r>
      <w:r>
        <w:rPr>
          <w:color w:val="000000"/>
          <w:sz w:val="24"/>
          <w:szCs w:val="24"/>
        </w:rPr>
        <w:br/>
        <w:t xml:space="preserve">2. medical intervention is almost always associated with an invasive interventions arising from the nature of the treatment, which often involve risks that can not be avoided,</w:t>
      </w:r>
      <w:r>
        <w:rPr>
          <w:color w:val="000000"/>
          <w:sz w:val="24"/>
          <w:szCs w:val="24"/>
        </w:rPr>
        <w:br/>
        <w:t xml:space="preserve">3. which typically difficult to separate from the professional misdemeanour (because of the question of the allowed complications mentioned above)</w:t>
      </w:r>
      <w:r>
        <w:rPr>
          <w:color w:val="000000"/>
          <w:sz w:val="24"/>
          <w:szCs w:val="24"/>
        </w:rPr>
        <w:br/>
        <w:t xml:space="preserve">we can say, that it’s particularly difficult to prove the guilt in these cases, because the procedure does not start at all, or the causation, mentioned above, very difficult or impossible to prove.</w:t>
      </w:r>
      <w:r>
        <w:rPr>
          <w:color w:val="000000"/>
          <w:sz w:val="24"/>
          <w:szCs w:val="24"/>
        </w:rPr>
        <w:br/>
        <w:t xml:space="preserve">I reviewed fifty court-decisions examining how casual theories appear and form joint sections in the grounds of judgements of the judicial practice. I argue in favor of the view that the judge have to compulsory indicate in the grounds of judgements all the concepts and principles used in the relevant causal reasoning, and have to outline the whole context which he can see on the basis of, or do not can see the causal link.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396353">
    <w:multiLevelType w:val="hybridMultilevel"/>
    <w:lvl w:ilvl="0" w:tplc="141175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396353">
    <w:abstractNumId w:val="8439635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104219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