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BUKICS SZANDRA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HÉDER ÁKOS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Deres Petronella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Czine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címzetes egyetemi tanár, alkotmánybíró,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Fifty-fifty. A feles szabály különös méltánylást érdemlő esetei a bírói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feltételes szabadságra bocsátás egy speciális jogintézményéhez, a feles szabályhoz – illetve más megnevezéssel feles kedvezményhez – kapcsolódó különös méltánylást érdemlő eseteket vizsgáltuk.</w:t>
      </w:r>
      <w:r>
        <w:rPr>
          <w:color w:val="000000"/>
          <w:sz w:val="24"/>
          <w:szCs w:val="24"/>
        </w:rPr>
        <w:br/>
        <w:t xml:space="preserve">Témaválasztásunkban szerepet játszott a nagymértékű kedvezményt biztosító rendelkezés jelentőségén túl – amelyet a 2012. évi C. törvény tovább erősített – az, hogy a feles szabályhoz kapcsolódó különös méltánylást érdemlő körülményeket vizsgáló kutatások nem készültek. A Büntető törvénykönyvben erre vonatkozó példálódzó meghatározás nincs, illetve a Büntető Kollégiumi vélemények, valamint a – Kúria által hozott legfontosabb, válogatott, a kutatás szempontjából releváns – Bírósági Határozatok ellenére sem egyértelmű, hogy pontosan mi is számít különös méltánylást érdemlő körülménynek. Továbbá a különböző jogtudományi művekben sem találhatunk egységes álláspontot arra vonatkozóan, hogy mi tartozik a különös méltánylást érdemlő esetnek körébe, illetve hogyan is kell azt megítélni. Kutatásunk jelentőségét tovább fokozza, hogy e kérdésben csak az ítélkező bíró rendelkezhet, utólagos különleges eljárásban való döntés nem lehetséges.</w:t>
      </w:r>
      <w:r>
        <w:rPr>
          <w:color w:val="000000"/>
          <w:sz w:val="24"/>
          <w:szCs w:val="24"/>
        </w:rPr>
        <w:br/>
        <w:t xml:space="preserve">Kutatásunk elsődleges célja annak kiderítése, hogy melyek azok a körülmények, amelyeket a jogalkalmazó különös méltánylást érdemlő esetnek értékelt, majd ezeket összegezve megfogalmazhatóvá válik a különös méltánylást érdemlő körülmény definíciója. Továbbá a kutatás eredményéből következtethetünk e jogintézmény tekintetében a jogalkalmazás egységére is.</w:t>
      </w:r>
      <w:r>
        <w:rPr>
          <w:color w:val="000000"/>
          <w:sz w:val="24"/>
          <w:szCs w:val="24"/>
        </w:rPr>
        <w:br/>
        <w:t xml:space="preserve">Dolgozatunkban a 2014. augusztus 4-ig a Bírósági Határozatok Gyűjteményében található 146 darab a kutatásunkhoz kapcsolódó, a bírósági szervezetrendszer minden szintjét érintő anonimizált határozatot vizsgáltunk.</w:t>
      </w:r>
      <w:r>
        <w:rPr>
          <w:color w:val="000000"/>
          <w:sz w:val="24"/>
          <w:szCs w:val="24"/>
        </w:rPr>
        <w:br/>
        <w:t xml:space="preserve">Véleményünk szerint a feles kedvezmény a büntetés kiszabása körében nagy jelentőséggel bír, mind a társadalom, mind pedig a vádlott számára. Emiatt nagy jelentősége van annak, hogy mit tekint a jogalkalmazó különös méltánylást érdemlő körülményeknek. Bízunk abban, hogy kutatásunkkal hozzá tudtunk járulni e fontos jogintézmény megismeréséhez, fejlődéséhez és további sikeres alkalmazásához.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66485">
    <w:multiLevelType w:val="hybridMultilevel"/>
    <w:lvl w:ilvl="0" w:tplc="99439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66485">
    <w:abstractNumId w:val="95666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805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