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BUKICS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AKOS HEDER</w:t>
            </w:r>
          </w:p>
          <w:p w:rsidR="00DB4822" w:rsidRDefault="00C275A3" w:rsidP="004D7940">
            <w:pPr>
              <w:pStyle w:val="Hallgatokepzes"/>
            </w:pPr>
            <w:r>
              <w:t>Law</w:t>
            </w:r>
            <w:r w:rsidR="00A96AEC">
              <w:br/>
              <w:t>Unified, 7.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r w:rsidR="00DB4822" w:rsidTr="00DB4822">
        <w:tc>
          <w:tcPr>
            <w:tcW w:w="9854" w:type="dxa"/>
          </w:tcPr>
          <w:p w:rsidR="00DB4822" w:rsidRPr="00DB4822" w:rsidRDefault="00DB4822" w:rsidP="004D7940">
            <w:pPr>
              <w:pStyle w:val="Konzulensek"/>
            </w:pPr>
            <w:r w:rsidRPr="00DB4822">
              <w:t>Ágnes Czine Phd</w:t>
            </w:r>
          </w:p>
          <w:p w:rsidR="00DB4822" w:rsidRDefault="00DB4822" w:rsidP="00E11062">
            <w:pPr>
              <w:pStyle w:val="Konzulensek"/>
            </w:pPr>
            <w:r w:rsidRPr="00DB4822">
              <w:t>honorary professor, judge of constitution,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Fifty-fifty. Extraordinary appraisement of half rule in the case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checked up on cases which deserve extraordinary appraisement to let conditional freedom to a special legal institution, to the “half rule” with other words “half preference”.</w:t>
      </w:r>
      <w:r>
        <w:rPr>
          <w:color w:val="000000"/>
          <w:sz w:val="24"/>
          <w:szCs w:val="24"/>
        </w:rPr>
        <w:br/>
        <w:t xml:space="preserve">In our choice of subject has a big role over the importance of extensive allowance of provision, which was strengthened by Act C. of 2012 that the researches which are related to the half rule consider to the special recognition situations are not prepared. In the criminal code there is no related definition respectively to opinion of the criminal college - as well as the High Court of Justice handed down the most important, selected, in terms of research is relevant – in spite of the fact the Court’s decisions is not unequivocal what counts as a special recognition situation. Furthermore we didn’t find in other different juridical works a unified point of view about what really counts as a special recognition situation and how it should be judged. It makes our inquisition more important that the judge can be command of in this question, additional a decision in special course of action in not possible.</w:t>
      </w:r>
      <w:r>
        <w:rPr>
          <w:color w:val="000000"/>
          <w:sz w:val="24"/>
          <w:szCs w:val="24"/>
        </w:rPr>
        <w:br/>
        <w:t xml:space="preserve">The first aim of our research was to clarify which are the situations that law enforcement extends as a special recognition case. To sum up after all the definition of the special recognition situation can be formulated. Furthermore from the result of the research we can conclude to the unity of the dispensation of justice too.</w:t>
      </w:r>
      <w:r>
        <w:rPr>
          <w:color w:val="000000"/>
          <w:sz w:val="24"/>
          <w:szCs w:val="24"/>
        </w:rPr>
        <w:br/>
        <w:t xml:space="preserve">In our study we analyze on 146 piece of anonimisated resolution which connected to our research and could be found in the Justice Resolution’s Collection till 4. August 2014 and affect all level of the judicial structure.</w:t>
      </w:r>
      <w:r>
        <w:rPr>
          <w:color w:val="000000"/>
          <w:sz w:val="24"/>
          <w:szCs w:val="24"/>
        </w:rPr>
        <w:br/>
        <w:t xml:space="preserve">According to our point of view the half preference has a big importance to impose penalty upon both for the society and for the accused. For this reason there is a big importance of what the law enforcement considers as a special recognition situation. We hope that with our research we can contribute to the recognition, improvement and further successful enforcement of this important legal institution.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70691">
    <w:multiLevelType w:val="hybridMultilevel"/>
    <w:lvl w:ilvl="0" w:tplc="59363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70691">
    <w:abstractNumId w:val="39370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619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