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SZABADOS KINGA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Skoda Gabriella</w:t>
            </w:r>
          </w:p>
          <w:p w:rsidR="00DB4822" w:rsidRDefault="00DB4822" w:rsidP="00E11062">
            <w:pPr>
              <w:pStyle w:val="Konzulensek"/>
            </w:pPr>
            <w:r w:rsidRPr="00DB4822">
              <w:t>mb. oktató, ügyészségi szóvivő,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Damoklész kardja a szülőanyák kezében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újszülött sérelmére, az édesanyja által elkövetett emberölés cselekményének tanulmányozása. Vizsgálódásom célja az volt, hogy bemutathassam a szüléssel együtt járó beszámítási képességre ható vagy esetenként nem ható különleges állapot, valamint a cselekmény elkövetését megkönnyítő, elősegítő pszichikai állapot szerepét a büntetés kiszabása során.</w:t>
      </w:r>
      <w:r>
        <w:rPr>
          <w:color w:val="000000"/>
          <w:sz w:val="24"/>
          <w:szCs w:val="24"/>
        </w:rPr>
        <w:br/>
        <w:t xml:space="preserve">A büntetőjogi, alkotmányjogi szabályozások áttekintése mellett megismerkedtem a pszichiátriai betegségekkel, azok kialakulásának módjaival, a különböző affektusok szerepével a bűncselekmény vonatkozásában s kifejezetten a szüléshez kapcsolódó pszichiátriai betegségekkel is. A gyakorlati megvalósulást a Miskolci és a Fővárosi Törvényszék előtt folyamatban volt, jogerősen befejezett ügyek iratai alapján tanulmányoztam és egy autista lány viselkedését is megfigyeltem, hogy tisztább képet kaphassak a mentálisan beteg emberek viselkedéséről. Több témakörben kérdéseket tettem fel hetven személynek, a kérdőívek eredményét helyenként diagrammal szemléltettem, másutt véleményüket beleszőttem az adott fejezetbe.</w:t>
      </w:r>
      <w:r>
        <w:rPr>
          <w:color w:val="000000"/>
          <w:sz w:val="24"/>
          <w:szCs w:val="24"/>
        </w:rPr>
        <w:br/>
        <w:t xml:space="preserve">A védelem szemszögéből vizsgálva az ügyeket azt a következtetést tudom levonni, hogy a tényleges tudatborulás bíróság általi megállapítására fókuszáltak, hiszen az felmentést eredményezne. Ellenben a szakértők szerint a tudatborulás nagyon ritkán fordul elő. A szakvélemények a tanulmányozott esetek közül a legsúlyosabb állapotú, közepes fokban gyengeelméjű terhelt esetén azt tanúsították, hogy ez a mentális betegség tette képtelenné az elkövetőt, hogy cselekménye következményeit felismerje vagy felismerésének megfelelően cselekedjék. Ellenben a fiatalkorú terheltnél, akinek fiatal személyisége könnyítette meg az elkövetést.</w:t>
      </w:r>
      <w:r>
        <w:rPr>
          <w:color w:val="000000"/>
          <w:sz w:val="24"/>
          <w:szCs w:val="24"/>
        </w:rPr>
        <w:br/>
        <w:t xml:space="preserve">Az iratok tanulmányozása alapján levonható az a következtetés, hogy a bírói gyakorlat általában egységes a büntetés kiszabása kérdéskörében. Megfigyelhettem a befejezett kísérlet eseteinél azt, hogy ugyanolyan mértékű büntetés került kiszabásra e magatartásokért, mint a befejezett cselekményekért.</w:t>
      </w:r>
      <w:r>
        <w:rPr>
          <w:color w:val="000000"/>
          <w:sz w:val="24"/>
          <w:szCs w:val="24"/>
        </w:rPr>
        <w:br/>
        <w:t xml:space="preserve">A vizsgált esetek, tizenkét éves időintervallumban átlagosan évente egy ilyen bűncselekményt, vagy annak kísérletét jelentik két nagy illetékességi területen összesen. Megállapítható, hogy növekedés nem figyelhető meg e bűncselekmények számában. Ez az alacsony szám remélhetőleg egyszer mégis nulla lesz.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0610">
    <w:multiLevelType w:val="hybridMultilevel"/>
    <w:lvl w:ilvl="0" w:tplc="10519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0610">
    <w:abstractNumId w:val="16700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758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