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NÓRA CSEVÁR</w:t>
            </w:r>
          </w:p>
          <w:p w:rsidR="00C275A3" w:rsidRDefault="00A96AEC" w:rsidP="00C275A3">
            <w:pPr>
              <w:pStyle w:val="Hallgatokepzes"/>
            </w:pPr>
            <w:r>
              <w:t>Faculty of Law</w:t>
            </w:r>
            <w:r>
              <w:br/>
            </w:r>
            <w:r w:rsidR="00E77B23">
              <w:t>Unified, 10. semester</w:t>
            </w:r>
          </w:p>
          <w:p w:rsidR="00C265CE" w:rsidRPr="009E5FF1" w:rsidRDefault="00E77B23" w:rsidP="009763E0">
            <w:pPr>
              <w:pStyle w:val="Hallgatointezmeny-kar"/>
              <w:rPr>
                <w:b/>
                <w:caps/>
              </w:rPr>
            </w:pPr>
            <w:r>
              <w:t>Károli Gáspár University of the Reformed Church in Hungary</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Péter Antalóczy Phd</w:t>
            </w:r>
          </w:p>
          <w:p w:rsidR="00DB4822" w:rsidRDefault="00DB4822" w:rsidP="009763E0">
            <w:pPr>
              <w:pStyle w:val="Konzulensektitulus"/>
            </w:pPr>
            <w:r w:rsidRPr="00DB4822">
              <w:t> associate professor, KRE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influence of the Calvinist Church Organization model to Western Europe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Research on Calvin always remains timely. In the 16th century John Calvin highlighted perennial problems and tried to find solutions to them that have been present throughout the whole course of history not only in our days. Through his works Calvin made an impact on the developments in constitutional law, the theory of government, ecclesiastical law and culture in Western Europe as a whole.</w:t>
      </w:r>
      <w:r>
        <w:rPr>
          <w:color w:val="000000"/>
          <w:sz w:val="24"/>
          <w:szCs w:val="24"/>
        </w:rPr>
        <w:br/>
        <w:t xml:space="preserve">In my thesis I am taking a stand in some debated issues, for instance whether Calvin was a forerunner of democracy. However, he did not exactly mean democracy in the modern sense of the word but he wanted to create a form of government in which the ruler had some kind of a social-political organ at his disposal to exert counterbalance. However, from the works of Calvinists we can draw the conclusion that we cannot be sure that Calvin would not have the courage to anticipate the birth of the contemporary notion of democracy.</w:t>
      </w:r>
    </w:p>
    <w:p>
      <w:pPr>
        <w:widowControl w:val="on"/>
        <w:pBdr/>
        <w:spacing w:before="240" w:after="240" w:line="240" w:lineRule="auto"/>
        <w:ind w:left="0" w:right="0"/>
        <w:jc w:val="left"/>
      </w:pPr>
      <w:r>
        <w:rPr>
          <w:color w:val="000000"/>
          <w:sz w:val="24"/>
          <w:szCs w:val="24"/>
        </w:rPr>
        <w:t xml:space="preserve">In my interpretation the teaching of Luther on the two empires can be deduced from Calvin’s Institutio as well. In the 15th century civil and ecclesiastical government was working together not only closely but virtually inseparably. Besides focusing on the separation of state and church, Calvin aimed to define the essence of civil government as well. This means that he was building on Luther’s doctrine of two empires and went on to define the operation, the design, the organization and the responsibilities of civil and ecclesiastical government since he separated ecclesiastical and civil authority.</w:t>
      </w:r>
    </w:p>
    <w:p>
      <w:pPr>
        <w:widowControl w:val="on"/>
        <w:pBdr/>
        <w:spacing w:before="240" w:after="240" w:line="240" w:lineRule="auto"/>
        <w:ind w:left="0" w:right="0"/>
        <w:jc w:val="left"/>
      </w:pPr>
      <w:r>
        <w:rPr>
          <w:color w:val="000000"/>
          <w:sz w:val="24"/>
          <w:szCs w:val="24"/>
        </w:rPr>
        <w:t xml:space="preserve">In several debates Calvin emphasized that the state and the church had to be two separate entities but cooperation between them was necessary and he would grant the right to interfere to the state in certain cases only (e.g. in the case of crimes). Sovereignty originating from God can be present in the state, in society and in the church, as well. A sovereign church, however, can only exist in a sovereign state.</w:t>
      </w:r>
      <w:r>
        <w:rPr>
          <w:color w:val="000000"/>
          <w:sz w:val="24"/>
          <w:szCs w:val="24"/>
        </w:rPr>
        <w:br/>
        <w:t xml:space="preserve">Calvin’s view that the state and the church should be two independent organizations, has been confirmed, and a basic constitutional principle required for this is freedom of religion, as guaranteed by article VII. (Freedom and Responsibility) of our present Foundational Law.</w:t>
      </w:r>
    </w:p>
    <w:p>
      <w:pPr>
        <w:widowControl w:val="on"/>
        <w:pBdr/>
        <w:spacing w:before="240" w:after="240" w:line="240" w:lineRule="auto"/>
        <w:ind w:left="0" w:right="0"/>
        <w:jc w:val="left"/>
      </w:pPr>
      <w:r>
        <w:rPr>
          <w:color w:val="000000"/>
          <w:sz w:val="24"/>
          <w:szCs w:val="24"/>
        </w:rPr>
        <w:t xml:space="preserve">One has to possess historical and legal knowledge in order to understand and appreciate them. My intention in identifying and presenting the main connections within Calvinist theology was to present their impact on relationships within society.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811184">
    <w:multiLevelType w:val="hybridMultilevel"/>
    <w:lvl w:ilvl="0" w:tplc="388252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811184">
    <w:abstractNumId w:val="618111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11613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