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GOMBKÖTŐ BALÁZS</w:t>
            </w:r>
          </w:p>
          <w:p w:rsidR="00C275A3" w:rsidRDefault="00A96AEC" w:rsidP="00C275A3">
            <w:pPr>
              <w:pStyle w:val="Hallgatokepzes"/>
            </w:pPr>
            <w:r>
              <w:t>Élelmiszermérnöki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Karaffa Erzsébet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Bérczesné Szojka Anikó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nemes rothadás körülményeinek hatása a Botrytis cinerea morfológiájára, valamint a gomba alternatív oxidáz enzimének aktivitására és kifejeződésére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Botrytis genuszba tartozó fajok olyan fonalas gombák melyek fitopatogének és jelentős gazdasági kárt tudnak okozni. A B. cinerea leginkább a mérsékelt égövön terjedt el, és ott nagyszámú, eddig bizonyítottan 235 gazdanövényen képes a szürkerothadás (pouriture grise) nevű betegséget kiváltani. Megfelelő körülmények között (szőlőfajta, klimatikus tényezők), az érett, magas cukortartalmú szőlőszemeken nemes rothadás (pouriture noble) is kialakulhat.</w:t>
      </w:r>
      <w:r>
        <w:rPr>
          <w:color w:val="000000"/>
          <w:sz w:val="24"/>
          <w:szCs w:val="24"/>
        </w:rPr>
        <w:br/>
        <w:t xml:space="preserve">Célunk a szürke- és nemes rothadás modellezésével, hogy megfigyelhessük a különböző differenciáló körülmények hatását a gomba élettani tulajdonságaira nézve. A kapott eredményeket statisztikai értékeléssel támasztottuk alá.</w:t>
      </w:r>
      <w:r>
        <w:rPr>
          <w:color w:val="000000"/>
          <w:sz w:val="24"/>
          <w:szCs w:val="24"/>
        </w:rPr>
        <w:br/>
        <w:t xml:space="preserve">Legutóbbi kutatási eredmények alapján, a Botrytis cinerea fajkomplex legalább két fajt foglal magába, B. cinerea sensu sticto (II. csoport) és B. psudeocinerea (I. csoport), melyek közé tartozó törzsek genetikai alapon elkülöníthetőek, különböznek a patogenitásukban és eltérő módon tolerálják a különböző fungicideket.</w:t>
      </w:r>
      <w:r>
        <w:rPr>
          <w:color w:val="000000"/>
          <w:sz w:val="24"/>
          <w:szCs w:val="24"/>
        </w:rPr>
        <w:br/>
        <w:t xml:space="preserve">Elsőként a Botrytis cinerea I-es és II-es fajcsoportjába tartozó, 10 kiválasztott törzs morfológiai tulajdonságait vizsgáltuk különböző körülmények között: két hőmérsékleten (8, és 25 oC) és eltérő ozmotikus körülmények modellezésével (10 és 250 g/l glükóz). A vizsgálatokat makroszkópos mérésekkel és fénymikroszkópos megfigyeléssel végeztük el. Eredményképpen kijelenthető, hogy a törzsek növekedése a nemes rothadás körülményei közt sokkal gyengébb volt, mint a szürkerothadás esetében, azonban mikroszkopikusan nem volt jelentős különbség a törzsek közt.</w:t>
      </w:r>
      <w:r>
        <w:rPr>
          <w:color w:val="000000"/>
          <w:sz w:val="24"/>
          <w:szCs w:val="24"/>
        </w:rPr>
        <w:br/>
        <w:t xml:space="preserve">Kísérleteinkben összehasonlítottuk, a B. cinerea I-es és II-es fajcsoportjába tartozó, 10 kiválasztott törzs alternatív oxidáz (AOX) aktivitását is. Az AOX fehérje a légzési láncban található terminális kinon oxidáz, a divas karboxilát fehérjecsalád tagja, expressziója gyakran megnő biotikus és abiotikus stressz hatására. Az eredmények alapján megállapítható, hogy abiotikus stressz (alacsony hőmérséklet -és magas ozmotikus nyomás) hatására, a nemes rothadást modellező körülmények esetén, az alternatív légzési útvonal aktivitása jelentősen megnőtt.</w:t>
      </w:r>
      <w:r>
        <w:rPr>
          <w:color w:val="000000"/>
          <w:sz w:val="24"/>
          <w:szCs w:val="24"/>
        </w:rPr>
        <w:br/>
        <w:t xml:space="preserve">A B05.10 B. cinerea sensu stricto, magas patogenitást mutató típustözs esetében nyomon követtük, hogy az idő elteltével és a szénhidrátforrás emelkedő koncentrációjával, hogyan változik az aox expressziója. A vizsgálatot Northern analízissel végeztük el. A magas cukorkoncentrációkon az aox enzim expressziója jelentősen emelkedett.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31872">
    <w:multiLevelType w:val="hybridMultilevel"/>
    <w:lvl w:ilvl="0" w:tplc="82389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31872">
    <w:abstractNumId w:val="92731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043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