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GOMBKOTO</w:t>
            </w:r>
          </w:p>
          <w:p w:rsidR="00C275A3" w:rsidRDefault="00A96AEC" w:rsidP="00C275A3">
            <w:pPr>
              <w:pStyle w:val="Hallgatokepzes"/>
            </w:pPr>
            <w:r>
              <w:t>Food Engineer</w:t>
            </w:r>
            <w:r>
              <w:br/>
            </w:r>
            <w:r w:rsidR="00E77B23">
              <w:t>BSc, 5.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M. Karaffa</w:t>
            </w:r>
          </w:p>
          <w:p w:rsidR="00DB4822" w:rsidRDefault="00DB4822" w:rsidP="00E11062">
            <w:pPr>
              <w:pStyle w:val="Konzulensek"/>
            </w:pPr>
            <w:r w:rsidRPr="00DB4822">
              <w:t>associate professor, DE MÉK</w:t>
            </w:r>
          </w:p>
        </w:tc>
      </w:tr>
      <w:tr w:rsidR="00DB4822" w:rsidTr="00DB4822">
        <w:tc>
          <w:tcPr>
            <w:tcW w:w="9854" w:type="dxa"/>
          </w:tcPr>
          <w:p w:rsidR="00DB4822" w:rsidRPr="00DB4822" w:rsidRDefault="00DB4822" w:rsidP="004D7940">
            <w:pPr>
              <w:pStyle w:val="Konzulensek"/>
            </w:pPr>
            <w:r w:rsidRPr="00DB4822">
              <w:t>Dr. Anikó Bérczesné Szojka</w:t>
            </w:r>
          </w:p>
          <w:p w:rsidR="00DB4822" w:rsidRDefault="00DB4822" w:rsidP="00E11062">
            <w:pPr>
              <w:pStyle w:val="Konzulensek"/>
            </w:pPr>
            <w:r w:rsidRPr="00DB4822">
              <w:t>Ph.D. student,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noble rotting conditions to the morphology, alternative oxidase enzyme activity and it’s expression of Botrytis cinerea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Species belonging to the Botrytis genus are a phytopathogen filamentous fungi, which are able to cause serious economic damage. B. cinerea is widespread, mainly on the temperate zone and can cause grey rot (pouriture grise) on numerous (so far 235 host-plant proven) plant. Under appropriate conditions (grape species, climatic factors), on ripe berries with high sugar contention, noble rot (pouriture noble) may develop.</w:t>
      </w:r>
      <w:r>
        <w:rPr>
          <w:color w:val="000000"/>
          <w:sz w:val="24"/>
          <w:szCs w:val="24"/>
        </w:rPr>
        <w:br/>
        <w:t xml:space="preserve">Our goal was to mimic gray rot and noble rot conditions, and examine the effects of these differentiating conditions for the physiological properties of the fungus. The results were supported by statistical evaluation.</w:t>
      </w:r>
      <w:r>
        <w:rPr>
          <w:color w:val="000000"/>
          <w:sz w:val="24"/>
          <w:szCs w:val="24"/>
        </w:rPr>
        <w:br/>
        <w:t xml:space="preserve">Based on the latest results, the Botrytis cinerea species complex includes two cryptic species. The B. cinerea sensu sticto (Group II) and the B. psudeocinerea (Group I), that are different in genetic understanding as well as in their pathogenicity and fungicides sensitivity.</w:t>
      </w:r>
      <w:r>
        <w:rPr>
          <w:color w:val="000000"/>
          <w:sz w:val="24"/>
          <w:szCs w:val="24"/>
        </w:rPr>
        <w:br/>
        <w:t xml:space="preserve">In our experiments, we have examined 10 chosen strains from B. cinerea Group I and Group II. Firstly, we analysed the morphological features of the strains among different conditions: two temperatures (8 and 25 oC) and two osmotic pressure (10 and 250 g/l concentration of glucose). The measurements were executed by macroscopic and microscopic ways. According to the results, the growth of our strains was far weaker among the condition of noble rotting, comparing to the strains grown in normal conditions. However, there was not detectable microscopic differences between the strains and conditions.</w:t>
      </w:r>
      <w:r>
        <w:rPr>
          <w:color w:val="000000"/>
          <w:sz w:val="24"/>
          <w:szCs w:val="24"/>
        </w:rPr>
        <w:br/>
        <w:t xml:space="preserve">Moreover, we have compared the 10 chosen strains’ (belonging to Group I and Group II of B. cinerea) alternative oxidase (AOX) activities in case of the two conditions. Based on the results, the activity of alternative pathway significantly increased among the conditions of noble rotting, in other words by the effects of abiotic stresses (low temperature, high osmotic pressure).</w:t>
      </w:r>
      <w:r>
        <w:rPr>
          <w:color w:val="000000"/>
          <w:sz w:val="24"/>
          <w:szCs w:val="24"/>
        </w:rPr>
        <w:br/>
        <w:t xml:space="preserve">As well, we investigated that how the elapsing time and the increasing sugar concentration influence the aox gene expression in the highly pathogenic B05.10 B. cinerea sensu stricto strain. The experiment was performed by Northern blot. The gene was expressed in all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31310">
    <w:multiLevelType w:val="hybridMultilevel"/>
    <w:lvl w:ilvl="0" w:tplc="50006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31310">
    <w:abstractNumId w:val="66531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865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