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SZILÁGYI</w:t>
            </w:r>
          </w:p>
          <w:p w:rsidR="00C275A3" w:rsidRDefault="00A96AEC" w:rsidP="00C275A3">
            <w:pPr>
              <w:pStyle w:val="Hallgatokepzes"/>
            </w:pPr>
            <w:r>
              <w:t>agricultural engineering</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Bozsik PhD</w:t>
            </w:r>
          </w:p>
          <w:p w:rsidR="00DB4822" w:rsidRDefault="00DB4822" w:rsidP="009763E0">
            <w:pPr>
              <w:pStyle w:val="Konzulensektitulus"/>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Biological control of thrips in greenhouse-grown pepper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Western flower thrips (Frankliniella occidentalis, Thripidae) is an important pest of greenhouse sweet pepper. It causes aesthetic damage on fruit and is a significant virus vector. Pepper production has to meet considerable quality requirements and reduction of pesticide use (number of sprayings and the amount of chemicals) is an EU demand. The biological control is able to suit these criteria.</w:t>
      </w:r>
      <w:r>
        <w:rPr>
          <w:color w:val="000000"/>
          <w:sz w:val="24"/>
          <w:szCs w:val="24"/>
        </w:rPr>
        <w:br/>
        <w:t xml:space="preserve">During the investigations, a predatory mite, Amblyseius swirskii (Phytoseiidae) and a predatory bug, Orius laevigatus (Miridae) were introduced into the green pepper stand. To evaluate the efficiency (pest density, costs, income) of this control option, another pepper culture – treated with pesticides – was observed and estimated.</w:t>
      </w:r>
      <w:r>
        <w:rPr>
          <w:color w:val="000000"/>
          <w:sz w:val="24"/>
          <w:szCs w:val="24"/>
        </w:rPr>
        <w:br/>
        <w:t xml:space="preserve">Regarding the pest population density, in the biological control treatment there were no significant differences among the timely evaluated pest population samples. However, in the pesticide treatment chemicals could not maintain a balanced protection. The most appropriate method to limit the pest density must be the introduction of natural enemies.</w:t>
      </w:r>
      <w:r>
        <w:rPr>
          <w:color w:val="000000"/>
          <w:sz w:val="24"/>
          <w:szCs w:val="24"/>
        </w:rPr>
        <w:br/>
        <w:t xml:space="preserve">To sum up the costs, the use of biological control is more profitable because of its stable efficiency and the higher rate of excellent quality yield. Regarding the income, research confirmed the market success of production with biological control.</w:t>
      </w:r>
      <w:r>
        <w:rPr>
          <w:color w:val="000000"/>
          <w:sz w:val="24"/>
          <w:szCs w:val="24"/>
        </w:rPr>
        <w:br/>
        <w:t xml:space="preserve">Concerning future agriculture, biological control is a key factor in crop protection and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73571">
    <w:multiLevelType w:val="hybridMultilevel"/>
    <w:lvl w:ilvl="0" w:tplc="24800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73571">
    <w:abstractNumId w:val="32473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854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