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MOLNÁR</w:t>
            </w:r>
          </w:p>
          <w:p w:rsidR="00C275A3" w:rsidRDefault="00A96AEC" w:rsidP="00C275A3">
            <w:pPr>
              <w:pStyle w:val="Hallgatokepzes"/>
            </w:pPr>
            <w:r>
              <w:t>Environmental and agricultural engineering</w:t>
            </w:r>
            <w:r>
              <w:br/>
            </w:r>
            <w:r w:rsidR="00E77B23">
              <w:t>BSc, 5.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Lili Mézes</w:t>
            </w:r>
          </w:p>
          <w:p w:rsidR="00DB4822" w:rsidRDefault="00DB4822" w:rsidP="00E11062">
            <w:pPr>
              <w:pStyle w:val="Konzulensek"/>
            </w:pPr>
            <w:r w:rsidRPr="00DB4822">
              <w:t>professor's assistant,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poultry feather biodegradability and recycle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poultry feathers waste from slaughterhouse is classified with Category 3 animal waste, which has less environmental risk. The feather constitutes about 10% of the total poultry weight, therefore the amount of feather from slaughterhouse with high water content is several million tonnes worldwide. In order to find a solution to the disposal, there are many alternative technology as composting, preparation of colored paper, production of bio-degradable plastic and fabric and insulation material.</w:t>
      </w:r>
      <w:r>
        <w:rPr>
          <w:color w:val="000000"/>
          <w:sz w:val="24"/>
          <w:szCs w:val="24"/>
        </w:rPr>
        <w:br/>
        <w:t xml:space="preserve">The aim of my research, after an optimal pre-treatment of chicken feather waste should be involved in the biogas production. The poultry feather is hardly degradable protein, the Bacillus licheniformis bacterium was used for the degradation (KOVÁCS et al, 2002; PEREI et al., 2004). Feathers from poultry slaughterhouse were sterilized and the ratio of keratin degradation was examined in solid (KRIZSÁN, 2012) and liquid culture media (FAKHFAKH et al 2011; OKOROMA et al, 2012). The keratin activity was analysed in solid medium according to the size of the circles of dissolution in 1% and 2% feather containing media. 30% larger keratin activity was observed using medium containing 2% feather. The protein content of liquid media supernatant was measured by spectrophotometer (Sacoman Athelie Junior) with Bradford (1976) method and simultaneously was measured with bacteria cell number, daily. I found that more bacterial cells in the solution means higher soluble protein content, and that the growth of Bacillus licheniformis bacterium affects other nutrients in the medium. The effectiveness of Bacillus licheniformis was compared from poultry feather selected keratinolytic unknown bacteria. Five unknown bacteria were selected and the keratinolytic activity of bacteria was compared in solid medium. The 5. unknown bacteria was more effective than the Bacillus licheniformis based on the size of the dissolution zones. I recommend further examination of the bacteria in liquid medium and identification.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08915">
    <w:multiLevelType w:val="hybridMultilevel"/>
    <w:lvl w:ilvl="0" w:tplc="51845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08915">
    <w:abstractNumId w:val="287089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8236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