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PÁSZTOR ISTVÁN</w:t>
            </w:r>
          </w:p>
          <w:p w:rsidR="00C275A3" w:rsidRDefault="00A96AEC" w:rsidP="00C275A3">
            <w:pPr>
              <w:pStyle w:val="Hallgatokepzes"/>
            </w:pPr>
            <w:r>
              <w:t>Informatikus és szakigazgatási agrármérnöki</w:t>
            </w:r>
            <w:r>
              <w:br/>
            </w:r>
            <w:r w:rsidR="00E77B23">
              <w:t>BSc, 3. félév</w:t>
            </w:r>
          </w:p>
          <w:p w:rsidR="00C265CE" w:rsidRPr="009E5FF1" w:rsidRDefault="00E77B23" w:rsidP="009763E0">
            <w:pPr>
              <w:pStyle w:val="Hallgatointezmeny-kar"/>
              <w:rPr>
                <w:b/>
                <w:caps/>
              </w:rPr>
            </w:pPr>
            <w:r>
              <w:t>Debreceni Egyetem</w:t>
            </w:r>
            <w:r w:rsidR="00C275A3">
              <w:br/>
            </w:r>
            <w:r w:rsidR="00DB4822">
              <w:t>Gazdálkodástudományi és Vidékfejlesztési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Szabó András</w:t>
            </w:r>
          </w:p>
          <w:p w:rsidR="00DB4822" w:rsidRDefault="00DB4822" w:rsidP="009763E0">
            <w:pPr>
              <w:pStyle w:val="Konzulensektitulus"/>
            </w:pPr>
            <w:r w:rsidRPr="00DB4822">
              <w:t>egyetemi adjunktus, DE MÉK</w:t>
            </w:r>
          </w:p>
        </w:tc>
      </w:tr>
      <w:tr w:rsidR="00DB4822" w:rsidTr="00DB4822">
        <w:tc>
          <w:tcPr>
            <w:tcW w:w="9854" w:type="dxa"/>
          </w:tcPr>
          <w:p w:rsidR="00DB4822" w:rsidRPr="00DB4822" w:rsidRDefault="00DB4822" w:rsidP="009763E0">
            <w:pPr>
              <w:pStyle w:val="Konzulenseknev"/>
            </w:pPr>
            <w:r w:rsidRPr="00DB4822">
              <w:t>Dr. Sulyok Dénes Zsolt</w:t>
            </w:r>
          </w:p>
          <w:p w:rsidR="00DB4822" w:rsidRDefault="00DB4822" w:rsidP="009763E0">
            <w:pPr>
              <w:pStyle w:val="Konzulensektitulus"/>
            </w:pPr>
            <w:r w:rsidRPr="00DB4822">
              <w:t>talajművelési koordinátor,  KITE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hagyományos és a sávos talajművelési technológiák összehasonlítása Magyarország eltérő talajtípusú tájegységein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Hazánk talajainak közel fele kedvezőtlen vízgazdálkodású, nő a földek aszályérzékenysége, gyakori a talajtömörödés, a savanyodás, a szikesedés és egyre több területen figyelhetők meg eróziós és deflációs folyamatok. Az alternatív talajművelési rendszerek a menetszámok csökkentésével, kapcsolt munkagépek alkalmazásával kevésbé károsítják a talajt, megelőzik az eróziót, növelik a talaj biodiverzitását, és hosszútávon jelentős termelési költségektől kímélhetnek meg.</w:t>
      </w:r>
      <w:r>
        <w:rPr>
          <w:color w:val="000000"/>
          <w:sz w:val="24"/>
          <w:szCs w:val="24"/>
        </w:rPr>
        <w:br/>
        <w:t xml:space="preserve">  Dolgozatom témájaként a fenntartható növénytermesztés talajművelési technológiáinak bemutatását tűztem ki célul. Magyarország három különböző talajtípusú területén (réti csernozjom, homok, barna erdő) végzett talajtömörödöttség és talajnedvesség mérések eredményeit vizsgáltam hagyományos és sávos talajművelés esetén kukorica modellnövény alkalmazásával a 2012-es évben. A kísérleti adatok eredményeképpen megállapítást nyert, hogy a menetszám csökkentés a talaj-tömörödöttségi értékek kedvezőbbé válását, és a talaj vízgazdálkodási paramétereinek javulását idézték elő. A fenntartható szántóföldi talajművelési kísérletek alapján igazoltuk a napjaink egyik legkorszerűbb - GPS és RTK rendszerekre alapozott – talajművelési rendszerének komplex, az egész növénytermesztési térre gyakorolt kedvező hatását, ami az agronómiai hatékonyság fokozódását, és a növénytermesztési ágazat jövedelmezőségének növekedését egyaránt elősegíti.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52193">
    <w:multiLevelType w:val="hybridMultilevel"/>
    <w:lvl w:ilvl="0" w:tplc="440520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552193">
    <w:abstractNumId w:val="965521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77171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