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ADRIENN PATALENSZKI</w:t>
            </w:r>
          </w:p>
          <w:p w:rsidR="00C275A3" w:rsidRDefault="00A96AEC" w:rsidP="00C275A3">
            <w:pPr>
              <w:pStyle w:val="Hallgatokepzes"/>
            </w:pPr>
            <w:r>
              <w:t>nature conservation engineering</w:t>
            </w:r>
            <w:r>
              <w:br/>
            </w:r>
            <w:r w:rsidR="00E77B23">
              <w:t>BSc, 7. semester</w:t>
            </w:r>
          </w:p>
          <w:p w:rsidR="00C265CE" w:rsidRPr="009E5FF1" w:rsidRDefault="00E77B23" w:rsidP="009763E0">
            <w:pPr>
              <w:pStyle w:val="Hallgatointezmeny-kar"/>
              <w:rPr>
                <w:b/>
                <w:caps/>
              </w:rPr>
            </w:pPr>
            <w:r>
              <w:t>University of Debrecen</w:t>
            </w:r>
            <w:r w:rsidR="00C275A3">
              <w:br/>
            </w:r>
            <w:r w:rsidR="00DB4822">
              <w:t>Faculty of Agricultural and Food Sciences and Environmental Management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Lajos Juhász</w:t>
            </w:r>
          </w:p>
          <w:p w:rsidR="00DB4822" w:rsidRDefault="00DB4822" w:rsidP="009763E0">
            <w:pPr>
              <w:pStyle w:val="Konzulensektitulus"/>
            </w:pPr>
            <w:r w:rsidRPr="00DB4822">
              <w:t>associate professor, DE MÉK</w:t>
            </w:r>
          </w:p>
        </w:tc>
      </w:tr>
      <w:tr w:rsidR="00DB4822" w:rsidTr="00DB4822">
        <w:tc>
          <w:tcPr>
            <w:tcW w:w="9854" w:type="dxa"/>
          </w:tcPr>
          <w:p w:rsidR="00DB4822" w:rsidRPr="00DB4822" w:rsidRDefault="00DB4822" w:rsidP="009763E0">
            <w:pPr>
              <w:pStyle w:val="Konzulenseknev"/>
            </w:pPr>
            <w:r w:rsidRPr="00DB4822">
              <w:t>Ádám Kőrösi</w:t>
            </w:r>
          </w:p>
          <w:p w:rsidR="00DB4822" w:rsidRDefault="00DB4822" w:rsidP="009763E0">
            <w:pPr>
              <w:pStyle w:val="Konzulensektitulus"/>
            </w:pPr>
            <w:r w:rsidRPr="00DB4822">
              <w:t>research fellow,  MTA–ELTE–MTM </w:t>
            </w:r>
          </w:p>
        </w:tc>
      </w:tr>
      <w:tr w:rsidR="00DB4822" w:rsidTr="00DB4822">
        <w:tc>
          <w:tcPr>
            <w:tcW w:w="9854" w:type="dxa"/>
          </w:tcPr>
          <w:p w:rsidR="00DB4822" w:rsidRPr="00DB4822" w:rsidRDefault="00DB4822" w:rsidP="009763E0">
            <w:pPr>
              <w:pStyle w:val="Konzulenseknev"/>
            </w:pPr>
            <w:r w:rsidRPr="00DB4822">
              <w:t>András Ambrus</w:t>
            </w:r>
          </w:p>
          <w:p w:rsidR="00DB4822" w:rsidRDefault="00DB4822" w:rsidP="009763E0">
            <w:pPr>
              <w:pStyle w:val="Konzulensektitulus"/>
            </w:pPr>
            <w:r w:rsidRPr="00DB4822">
              <w:t>zoologist,  Fertő-Hanság National Park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Causes and patterns of different habitat use by sympatric populations of Maculinea nausithous and Maculinea teleius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Maculinea genus is one of the most threatened, highly evaluated group of the butterflies. In the framework of this study there were investigated Maculinea teleius and Maculinea nausithous sympatric populations at the Hidegség wet meadows for 3 years (2012-2014).</w:t>
      </w:r>
    </w:p>
    <w:p>
      <w:pPr>
        <w:widowControl w:val="on"/>
        <w:pBdr/>
        <w:spacing w:before="240" w:after="240" w:line="240" w:lineRule="auto"/>
        <w:ind w:left="0" w:right="0"/>
        <w:jc w:val="left"/>
      </w:pPr>
      <w:r>
        <w:rPr>
          <w:color w:val="000000"/>
          <w:sz w:val="24"/>
          <w:szCs w:val="24"/>
        </w:rPr>
        <w:br/>
        <w:t xml:space="preserve">The two species have quite similar ecological requirements but the distribution within the site seems to be different based on the earlier studies. It is supposed that the ant host species of the two butterfly species prefer different microhabitats and the distribution of the adult butterflies follow this. Recent study was designed to test this hypothesis. Another important aspect of the study was an investigation of the potential effect of the management practices (mowing) on the distribution and abundance of both the ant communities and the Maculinea butterflies.</w:t>
      </w:r>
    </w:p>
    <w:p>
      <w:pPr>
        <w:widowControl w:val="on"/>
        <w:pBdr/>
        <w:spacing w:before="240" w:after="240" w:line="240" w:lineRule="auto"/>
        <w:ind w:left="0" w:right="0"/>
        <w:jc w:val="left"/>
      </w:pPr>
      <w:r>
        <w:rPr>
          <w:color w:val="000000"/>
          <w:sz w:val="24"/>
          <w:szCs w:val="24"/>
        </w:rPr>
        <w:br/>
        <w:t xml:space="preserve">Results showed positive correlation between the abundance of Maculinea nausithous butterfly and its only ant host species the Myrmica rubra. The mowing did not showed clear evidence of correlation between the management and the host ant densities, while the abundance of both Maculinea butterflies was significantly higher on the unmowed areas especially with higher number of flowerheads of the great burnet.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936404">
    <w:multiLevelType w:val="hybridMultilevel"/>
    <w:lvl w:ilvl="0" w:tplc="458861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936404">
    <w:abstractNumId w:val="449364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44975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