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CSEKE</w:t>
            </w:r>
          </w:p>
          <w:p w:rsidR="00C275A3" w:rsidRDefault="00A96AEC" w:rsidP="00C275A3">
            <w:pPr>
              <w:pStyle w:val="Hallgatokepzes"/>
            </w:pPr>
            <w:r>
              <w:t>kindergarten education</w:t>
            </w:r>
            <w:r>
              <w:br/>
            </w:r>
            <w:r w:rsidR="00E77B23">
              <w:t>BA, 9.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Varga Dr. Aniko Nagy </w:t>
            </w:r>
          </w:p>
          <w:p w:rsidR="00DB4822" w:rsidRDefault="00DB4822" w:rsidP="00E11062">
            <w:pPr>
              <w:pStyle w:val="Konzulensek"/>
            </w:pPr>
            <w:r w:rsidRPr="00DB4822">
              <w:t>Assistant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Research of Roma and Non-Roma young people’s Attitudes to choice their couples and Their relationship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of Roma and Non-Roma young people’s Attitudes to choice their couples and Their relationship</w:t>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br/>
        <w:t xml:space="preserve">Keywords: Roma and non-roma, relationship, family, attitude</w:t>
      </w:r>
    </w:p>
    <w:p>
      <w:pPr>
        <w:widowControl w:val="on"/>
        <w:pBdr/>
        <w:spacing w:before="240" w:after="240" w:line="240" w:lineRule="auto"/>
        <w:ind w:left="0" w:right="0"/>
        <w:jc w:val="left"/>
      </w:pPr>
      <w:r>
        <w:rPr>
          <w:color w:val="000000"/>
          <w:sz w:val="24"/>
          <w:szCs w:val="24"/>
        </w:rPr>
        <w:br/>
        <w:t xml:space="preserve">Nowadays more and more researches has been published about Roma and non-Roma people, however the focus point of these researches is not about the youth’s relationship habits and attitudes to choice their partners. In our research we were trying to find the answer what are the main differences and similarities in the way how Roma and the non-Roma young people’s choice their couples and also their relationship concepts. For the survey we used the questionnaire method, where we asked 55 Roma and 55 non-Roma young people about their opinions. While we analysed the results we noticed major differences about openness, childbearing ambitions and about the view of future family between Roma and non-Roma people. I believe that we need to get to know the Roma’s culture and way of thinking to reduce the level of rejection towards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6221">
    <w:multiLevelType w:val="hybridMultilevel"/>
    <w:lvl w:ilvl="0" w:tplc="40881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6221">
    <w:abstractNumId w:val="79896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568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