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KASZÁS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Magdolna Láczay</w:t>
            </w:r>
          </w:p>
          <w:p w:rsidR="00DB4822" w:rsidRDefault="00DB4822" w:rsidP="00E11062">
            <w:pPr>
              <w:pStyle w:val="Konzulensek"/>
            </w:pPr>
            <w:r w:rsidRPr="00DB4822">
              <w:t>college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methods and institutions of adult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new methods and institutions of adult education</w:t>
      </w:r>
    </w:p>
    <w:p>
      <w:pPr>
        <w:widowControl w:val="on"/>
        <w:pBdr/>
        <w:spacing w:before="240" w:after="240" w:line="240" w:lineRule="auto"/>
        <w:ind w:left="0" w:right="0"/>
        <w:jc w:val="left"/>
      </w:pPr>
      <w:r>
        <w:rPr>
          <w:color w:val="000000"/>
          <w:sz w:val="24"/>
          <w:szCs w:val="24"/>
        </w:rPr>
        <w:t xml:space="preserve">The thesis of the Hungarian society today is a very important problem of the adult training. I highlighted the adult education functions of those which are directly linked to the programs against unemployment. Review the practice of adult education in recent decades, and the reform processes that result in the last few years new laws, rules were published. The paper specifically addresses the international and national comparison, including the educated and the differences in the area. The uneducated and the unemployment closely intertwined. The views of the main current theoretical debates today also shows, as well as the domestic and European-supported projects, which focus on the Stephen turr Research and Training Centre implements.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19525">
    <w:multiLevelType w:val="hybridMultilevel"/>
    <w:lvl w:ilvl="0" w:tplc="11870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19525">
    <w:abstractNumId w:val="29819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091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