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MARTON</w:t>
            </w:r>
          </w:p>
          <w:p w:rsidR="00C275A3" w:rsidRDefault="00A96AEC" w:rsidP="00C275A3">
            <w:pPr>
              <w:pStyle w:val="Hallgatokepzes"/>
            </w:pPr>
            <w:r>
              <w:t>International Business Economics</w:t>
            </w:r>
            <w:r>
              <w:br/>
            </w:r>
            <w:r w:rsidR="00E77B23">
              <w:t>BSc,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Halmai</w:t>
            </w:r>
          </w:p>
          <w:p w:rsidR="00DB4822" w:rsidRDefault="00DB4822" w:rsidP="00E11062">
            <w:pPr>
              <w:pStyle w:val="Konzulensek"/>
            </w:pPr>
            <w:r w:rsidRPr="00DB4822">
              <w:t>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models of sovereign default theory in relation to European debt crisis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public debt; sovereign debt crisis; theory of sovereign default; European Union; European debt crisis</w:t>
      </w:r>
      <w:r>
        <w:t xml:space="preserve"/>
      </w:r>
    </w:p>
    <w:p>
      <w:pPr>
        <w:widowControl w:val="on"/>
        <w:pBdr/>
        <w:spacing w:before="240" w:after="240" w:line="240" w:lineRule="auto"/>
        <w:ind w:left="0" w:right="0"/>
        <w:jc w:val="left"/>
      </w:pPr>
      <w:r>
        <w:rPr>
          <w:color w:val="000000"/>
          <w:sz w:val="24"/>
          <w:szCs w:val="24"/>
        </w:rPr>
        <w:t xml:space="preserve">As a result of the 2008 financial crisis debt burden has grown significantly in some European countries. Sovereign debt crisis developed in the countries at the periphery of the European Union. The crisis had significant effect on every EU country; but the most serious consequences were in terms of peripheral countries.</w:t>
      </w:r>
    </w:p>
    <w:p>
      <w:pPr>
        <w:widowControl w:val="on"/>
        <w:pBdr/>
        <w:spacing w:before="240" w:after="240" w:line="240" w:lineRule="auto"/>
        <w:ind w:left="0" w:right="0"/>
        <w:jc w:val="left"/>
      </w:pPr>
      <w:r>
        <w:rPr>
          <w:color w:val="000000"/>
          <w:sz w:val="24"/>
          <w:szCs w:val="24"/>
        </w:rPr>
        <w:t xml:space="preserve">However, sovereign insolvency is novelty only in respect of developed countries. In number of emerging/developing countries face severe difficulties in the debt financing in the past centuries. The first models have already been created by the development of modern economic modelling in the 1980s, which deal with the theory of sovereign insolvency. Over the past several decades a lot of DSGE models were created on this subject, among which there can be find some, which are internationally widely accepted.</w:t>
      </w:r>
    </w:p>
    <w:p>
      <w:pPr>
        <w:widowControl w:val="on"/>
        <w:pBdr/>
        <w:spacing w:before="240" w:after="240" w:line="240" w:lineRule="auto"/>
        <w:ind w:left="0" w:right="0"/>
        <w:jc w:val="left"/>
      </w:pPr>
      <w:r>
        <w:rPr>
          <w:color w:val="000000"/>
          <w:sz w:val="24"/>
          <w:szCs w:val="24"/>
        </w:rPr>
        <w:t xml:space="preserve">One objective of the paper is to systematize these economic models, and to analyse and compare the results of the classification models.</w:t>
      </w:r>
    </w:p>
    <w:p>
      <w:pPr>
        <w:widowControl w:val="on"/>
        <w:pBdr/>
        <w:spacing w:before="240" w:after="240" w:line="240" w:lineRule="auto"/>
        <w:ind w:left="0" w:right="0"/>
        <w:jc w:val="left"/>
      </w:pPr>
      <w:r>
        <w:rPr>
          <w:color w:val="000000"/>
          <w:sz w:val="24"/>
          <w:szCs w:val="24"/>
        </w:rPr>
        <w:t xml:space="preserve">In the second part of the paper the European sovereign debt crisis is overviewed. In this section the Member States that have been in crisis, the mechanism of action of the crisis, its consequences will be identified, and the so-called "spillover effect” role as well.</w:t>
      </w:r>
    </w:p>
    <w:p>
      <w:pPr>
        <w:widowControl w:val="on"/>
        <w:pBdr/>
        <w:spacing w:before="240" w:after="240" w:line="240" w:lineRule="auto"/>
        <w:ind w:left="0" w:right="0"/>
        <w:jc w:val="left"/>
      </w:pPr>
      <w:r>
        <w:rPr>
          <w:color w:val="000000"/>
          <w:sz w:val="24"/>
          <w:szCs w:val="24"/>
        </w:rPr>
        <w:t xml:space="preserve">In the paper's third and final structural unit I study the relationship/interaction between the public debt to GDP ratio and the government bond yields in each Member State. Finally, as an essential element of the paper public debt forecast examination will be held.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22210">
    <w:multiLevelType w:val="hybridMultilevel"/>
    <w:lvl w:ilvl="0" w:tplc="74012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22210">
    <w:abstractNumId w:val="79222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39823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