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HABI</w:t>
            </w:r>
          </w:p>
          <w:p w:rsidR="00C275A3" w:rsidRDefault="00A96AEC" w:rsidP="00C275A3">
            <w:pPr>
              <w:pStyle w:val="Hallgatokepzes"/>
            </w:pPr>
            <w:r>
              <w:t>Economic Analyst</w:t>
            </w:r>
            <w:r>
              <w:br/>
            </w:r>
            <w:r w:rsidR="00E77B23">
              <w:t>MSc,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Gyöngyi Dr. Csuka</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Thoughts about Fiscal Transparecy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fiscal transparency; democracy and corruption; economic development</w:t>
      </w:r>
      <w:r>
        <w:t xml:space="preserve"/>
      </w:r>
    </w:p>
    <w:p>
      <w:pPr>
        <w:widowControl w:val="on"/>
        <w:pBdr/>
        <w:spacing w:before="240" w:after="240" w:line="240" w:lineRule="auto"/>
        <w:ind w:left="0" w:right="0"/>
        <w:jc w:val="left"/>
      </w:pPr>
      <w:r>
        <w:rPr>
          <w:color w:val="000000"/>
          <w:sz w:val="24"/>
          <w:szCs w:val="24"/>
        </w:rPr>
        <w:t xml:space="preserve">Since the 1990s the importance of fiscal transparency has been growing as a good measure of well-governance. The transparency of the government is fundamentally determined by what kind of budget document is published. The IMF (IMF 2007) and the OECD (OECD 2002) gave some guidelines in which they identify the documents, which should be published, and other suggestions. Parallel with the increasing of fiscal transparency, the risk premium on loans and government securities can decrease. Therefore, the cost of private loans can be also reduced which inturn may facilitate the economic growth. Furthermore if the operation of the government is more transparent the corruption can be lesser because of greater risk of be caught. The Open Budget Index measure the strength of fiscal transparency.</w:t>
      </w:r>
    </w:p>
    <w:p>
      <w:pPr>
        <w:widowControl w:val="on"/>
        <w:pBdr/>
        <w:spacing w:before="240" w:after="240" w:line="240" w:lineRule="auto"/>
        <w:ind w:left="0" w:right="0"/>
        <w:jc w:val="left"/>
      </w:pPr>
      <w:r>
        <w:rPr>
          <w:color w:val="000000"/>
          <w:sz w:val="24"/>
          <w:szCs w:val="24"/>
        </w:rPr>
        <w:t xml:space="preserve">The International Budget Partnership first published the Open Budget Index (shortly: OBI) in 2006. Since then the OBI has been issued in every two years. In my essay I will show how the OBI is made up and which are the important indicators and how the performance of countries have changed since the first publication. I will point out the weaknesses of the index and relationship between the OBI and other indicators (for example between the Democracy Index or GDP per capita).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32951">
    <w:multiLevelType w:val="hybridMultilevel"/>
    <w:lvl w:ilvl="0" w:tplc="64589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32951">
    <w:abstractNumId w:val="67732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609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