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HUBA PORTIK</w:t>
            </w:r>
          </w:p>
          <w:p w:rsidR="00C275A3" w:rsidRDefault="00A96AEC" w:rsidP="00C275A3">
            <w:pPr>
              <w:pStyle w:val="Hallgatokepzes"/>
            </w:pPr>
            <w:r>
              <w:t>visual presentation</w:t>
            </w:r>
            <w:r>
              <w:br/>
            </w:r>
            <w:r w:rsidR="00E77B23">
              <w:t>BA, 5. semester</w:t>
            </w:r>
          </w:p>
          <w:p w:rsidR="00C265CE" w:rsidRPr="009E5FF1" w:rsidRDefault="00E77B23" w:rsidP="00C275A3">
            <w:pPr>
              <w:pStyle w:val="Hallgatokepzes"/>
              <w:rPr>
                <w:b/>
                <w:caps/>
              </w:rPr>
            </w:pPr>
            <w:r>
              <w:t>University of West Hungary</w:t>
            </w:r>
            <w:r w:rsidR="00C275A3">
              <w:br/>
            </w:r>
            <w:r w:rsidR="00DB4822">
              <w:t>Berzsenyi Dániel Faculty for Teacher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Nagy</w:t>
            </w:r>
          </w:p>
          <w:p w:rsidR="00DB4822" w:rsidRDefault="00DB4822" w:rsidP="00E11062">
            <w:pPr>
              <w:pStyle w:val="Konzulensek"/>
            </w:pPr>
            <w:r w:rsidRPr="00DB4822">
              <w:t>principal Adviser, NYME BDPK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Landscape areas / Tájképzetek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Landscape areas</w:t>
      </w:r>
      <w:r>
        <w:rPr>
          <w:color w:val="000000"/>
          <w:sz w:val="24"/>
          <w:szCs w:val="24"/>
        </w:rPr>
        <w:br/>
        <w:t xml:space="preserve">The author: Szabolcs Portik Huba</w:t>
      </w:r>
      <w:r>
        <w:rPr>
          <w:color w:val="000000"/>
          <w:sz w:val="24"/>
          <w:szCs w:val="24"/>
        </w:rPr>
        <w:br/>
        <w:t xml:space="preserve">Institution, faculty: Nyugat Magyarországi Egyetem, BDPK</w:t>
      </w:r>
      <w:r>
        <w:rPr>
          <w:color w:val="000000"/>
          <w:sz w:val="24"/>
          <w:szCs w:val="24"/>
        </w:rPr>
        <w:br/>
        <w:t xml:space="preserve">Major, specialist, class: visual presentation , graphics 3. class</w:t>
      </w:r>
      <w:r>
        <w:rPr>
          <w:color w:val="000000"/>
          <w:sz w:val="24"/>
          <w:szCs w:val="24"/>
        </w:rPr>
        <w:br/>
        <w:t xml:space="preserve">Supervisor’s name, academic grade, place:</w:t>
      </w:r>
      <w:r>
        <w:rPr>
          <w:color w:val="000000"/>
          <w:sz w:val="24"/>
          <w:szCs w:val="24"/>
        </w:rPr>
        <w:br/>
        <w:t xml:space="preserve">Nagy Csaba principal Adviser</w:t>
      </w:r>
    </w:p>
    <w:p>
      <w:pPr>
        <w:widowControl w:val="on"/>
        <w:pBdr/>
        <w:spacing w:before="240" w:after="240" w:line="240" w:lineRule="auto"/>
        <w:ind w:left="0" w:right="0"/>
        <w:jc w:val="left"/>
      </w:pPr>
      <w:r>
        <w:rPr>
          <w:color w:val="000000"/>
          <w:sz w:val="24"/>
          <w:szCs w:val="24"/>
        </w:rPr>
        <w:t xml:space="preserve">The relationship between landscape and scenery tried to show in my work as an independent genre of landscape as a whole, at the same time as a lot of painting motif appears. This study of the genre, is integral to understanding the development of artistic vision, making new images demonstrate a new context. During my work in the real and the imaginary landscape I create one with examining this recreated landscape, the impact of the recipient. I studied a lot of Chinese, Japanese landscape art, and many ideas have drawn the work of artists in Baia Mare. The landscape is not only preparing the landscape copy, but the feeling of momentary impressions also appear on the surface, while the landscape in front of us is constantly changing. Whenever you contemplate it the same place, always show a different face of the landscape. Where is the light conditions, where the humidity or other elements play a role in this change. Many of the artist's imagination projected landscapes, depicting his pictures. In my case, the landscape as a source in emotional, soul, as the imprint appears accurate in depicting my state of mind. This realization led him to look would work to traditional graphic techniques. The pencil drawing is not a new technology-classical instrument - but expressive power has an impact on whether the painting. The best clue was the Japanese and Chinese landscape representation, where the graphics and painting have been placed together. I liked that, and many ideas, because there is not only the art of the imagination but also are involved and making a mounting. For me, next to the drawing surface application of the monotype technique has become more exciting, because I felt most appropriate to convey emotions. Here, the combination of gesture and stain found. The use of two techniques was looking for solutions. At first I thought the monotype into nyomatába draw. it will be finished, I realized it did not really make clear the inner emotions. Due to the transparency of the drawing, kindness cell capable of tracing paper appeared. This combination is also elusive reality between imagination and reality tell, but most of the emotions of the moment imprints.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68618">
    <w:multiLevelType w:val="hybridMultilevel"/>
    <w:lvl w:ilvl="0" w:tplc="638619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68618">
    <w:abstractNumId w:val="251686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84788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