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GERGŐ MÁRK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Hajnal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tisztességtelenség megítélése a fogyasztói kölcsönszerződésekkel kapcsolatos joggyakorlatban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devizahiteles perek során felszínre került, a tisztességtelenség megállapítására vonatkozó eltérő joggyakorlatok, az ezekkel kapcsolatos dilemmák, és az ezek megoldására szolgáló jogegységi döntések és vélemények feldolgozása, valamint ezek értékelése, és ezáltal a judikatúra eredményeinek, illetve hatásainak összegzése.</w:t>
      </w:r>
      <w:r>
        <w:rPr>
          <w:color w:val="000000"/>
          <w:sz w:val="24"/>
          <w:szCs w:val="24"/>
        </w:rPr>
        <w:br/>
        <w:t xml:space="preserve">Dolgozatomban az érvénytelenséggel kapcsolatos fogyasztói igények két területével foglalkozom. Egyrészt az árfolyamrés kérdéskörével, másrészt pedig a fogyasztói kölcsönszerződésekben kikötött egyoldalú szerződésmódosítás jogi problémáival.</w:t>
      </w:r>
      <w:r>
        <w:rPr>
          <w:color w:val="000000"/>
          <w:sz w:val="24"/>
          <w:szCs w:val="24"/>
        </w:rPr>
        <w:br/>
        <w:t xml:space="preserve">A szerződési feltételek érvénytelensége kimondásának hátterében két fontos kérdés húzódik meg, amelyek egymással szorosan összefüggnek. Egyrészt, hogy kategorikusan megállapítható-e, hogy tisztességtelenek a vizsgálat tárgyává tett feltételek. Másrészt, hogy egy pénzügyi szolgáltatás esetén kit kell oltalma alá helyeznie a fogyasztóvédelemnek, mert talán az átlagosan informált fogyasztó szintjéhez igazodó szabályozás nem jelent hatékony jogvédelmet.</w:t>
      </w:r>
      <w:r>
        <w:rPr>
          <w:color w:val="000000"/>
          <w:sz w:val="24"/>
          <w:szCs w:val="24"/>
        </w:rPr>
        <w:br/>
        <w:t xml:space="preserve">Arra a megállapításra jutottam, hogy a pénzügyi szolgáltatások tisztességtelenségének vizsgálata körében, a fogyasztók magánjogi védelmének eszköztárában első helyen a világosság, érthetőség, egyértelműség, illetve átláthatóság követelményei állnak. Összességében pedig a polgári jog azt követeli meg a pénzügyi szektor szolgáltatóitól, hogy olyan egyértelmű és világos szerződéseket kössenek a fogyasztókkal – mind a legegyszerűbb konstrukció, mind pedig a legösszetettebb termék tekintetében –, amelyek egy képzetlen, a pénzügyi világban járatlan fogyasztó számára is átláthatóak, azok jövőbeli alakulása tekintetében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94350">
    <w:multiLevelType w:val="hybridMultilevel"/>
    <w:lvl w:ilvl="0" w:tplc="52275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94350">
    <w:abstractNumId w:val="26094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180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