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MÁRK KERESZTES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Hajnal</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Judgement of Unfairness in the Legal Practice of Consumer Credit Contracts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study to write and assess the different ways of the legal practice and the relating dilemma in connection with the judgement of unfairness of consumer credit contracts. To summarize the results and the effect of the existing legal practice, were also the aim of this work.</w:t>
      </w:r>
      <w:r>
        <w:rPr>
          <w:color w:val="000000"/>
          <w:sz w:val="24"/>
          <w:szCs w:val="24"/>
        </w:rPr>
        <w:br/>
        <w:t xml:space="preserve">One of the problematic fields in connection with these mentioned credit contracts, is the unilaterally alteration. The other is the application of different exchange rate in these credit contracts denominated in foreign currency.</w:t>
      </w:r>
      <w:r>
        <w:rPr>
          <w:color w:val="000000"/>
          <w:sz w:val="24"/>
          <w:szCs w:val="24"/>
        </w:rPr>
        <w:br/>
        <w:t xml:space="preserve">There are two main questions behind the nullification. Firstly, can the unfairness be assessed in generally in these cases or not? On the other hand, in case of a financial service, who should be protected by the consumer protection?</w:t>
      </w:r>
      <w:r>
        <w:rPr>
          <w:color w:val="000000"/>
          <w:sz w:val="24"/>
          <w:szCs w:val="24"/>
        </w:rPr>
        <w:br/>
        <w:t xml:space="preserve">Finally in the summary I state that in case of assessment of unfairness in contracts relating to financial services, the following requirements are the firsts in the consumers protection by the civil law: intelligibility, clearness, unanimity and the transparency. And these requirements should be enforced in case of an unqualified consumer too who is unaccustomed to the world of financial services.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73110">
    <w:multiLevelType w:val="hybridMultilevel"/>
    <w:lvl w:ilvl="0" w:tplc="11961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73110">
    <w:abstractNumId w:val="29573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555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