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JÁNOS MÁRK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Fézer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egészségügyi szolgáltató kártérítési felelőssége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egészségügyi szolgáltatások nyújtása és igénybe vétele szerződéses keretek között történik, az orvos és a beteg között tehát polgári jogi kapcsolat áll fenn, melynek alanyai autonómok, egyenjogúak és mellérendeltek. A kutatás célja az egészségügyi tevékenységhez kapcsolódó felelősségi rendszer teljes feltárása mellett az egészségügyi szolgáltató kártérítési felelőssége, mint sajátos felelősségi forma gyakorlatközpontú elemzése volt.</w:t>
      </w:r>
      <w:r>
        <w:rPr>
          <w:color w:val="000000"/>
          <w:sz w:val="24"/>
          <w:szCs w:val="24"/>
        </w:rPr>
        <w:br/>
        <w:t xml:space="preserve">A Ptk. nem tartalmaz az egészségügyi szolgáltatás nyújtására irányuló jogviszonynak keretet biztosító sui generis szerződéstípust. Az egészségügyi szolgáltató kártérítési felelősségére vonatkozóan azonban a vonatkozó ágazati jogszabályok speciális, az egészségügyi tevékenység fent említett sajátosságaihoz igazodó szabályokat rögzítenek. Így az egészségügyi szolgáltató kártérítési felelőssége tekintetében, a jogviszony szerződéses jellege ellenére a deliktuális felelősség szabályai irányadók. A bírói gyakorlat felelősségtani premisszák mentén történt feldolgozását követően látható, hogy a felelősség megállapításának feltételei körében a bizonyítási teher megoszlása az igényt érvényesítő beteg számára kedvezőbben alakul. Tovább nehezíti a károkozó mentesülését az objektivizált gondossági mérce alkalmazása, mely az elvárható gondosságot helyezi a vizsgálat középpontjába. Nincsenek meghatározva az egészségügyi dolgozóktól elvárható magatartásra vonatkozó egységes standardok, így a felróhatóság a károkozó számára ismeretlen követelmények mentén kerül megállapításra.</w:t>
      </w:r>
      <w:r>
        <w:rPr>
          <w:color w:val="000000"/>
          <w:sz w:val="24"/>
          <w:szCs w:val="24"/>
        </w:rPr>
        <w:br/>
        <w:t xml:space="preserve">A tájékoztatás elégtelenségére alapított kártérítési igények a kedvező bizonyítási szabályok, valamint a szinte teljesíthetetlen teljes körű tájékoztatás követelménye miatt valóságos „eljárásjogi csodafegyverré” váltak a sérelmet szenvedett beteg kezében. A feldolgozott ítéletekből azonban kitűnik, hogy a bírói gyakorlat valamelyest enyhít a teljes körű tájékoztatási kötelezettség követelményén, reális elvárásokat támasztva az egészségügyi szolgáltatóval szemben.</w:t>
      </w:r>
      <w:r>
        <w:rPr>
          <w:color w:val="000000"/>
          <w:sz w:val="24"/>
          <w:szCs w:val="24"/>
        </w:rPr>
        <w:br/>
        <w:t xml:space="preserve">Az egészségügyi szolgáltató felelősségére vonatkozó szabályozás kialakítása, illetve alkalmazása során az orvosi tevékenység által érintett kiemelkedő társadalmi értékek mellett tekintettel kell lenni az egészségügyi szolgáltatók véges anyagi és emberi erőforrásaira, illetve a modern orvostudomány nyújtotta eszközök korlátaira. E szempontok figyelmen kívül hagyása ugyani azt eredményezheti, hogy a beteget, mint gyengébb felet védő szigorú felelősségi szabályok visszaélés eszközévé válnak a károsult kezében.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75995">
    <w:multiLevelType w:val="hybridMultilevel"/>
    <w:lvl w:ilvl="0" w:tplc="749729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75995">
    <w:abstractNumId w:val="162759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7019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