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MÁRK KISS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Fézer</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healthcare provider's liability for damages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the regulation of health care services, the doctor-patient relationship is considered as a civil law contract in Hungary. This relationship requires set rules for liability considering the nature of professional norms of medicine and the protection of human life and health. The purpose of this study is to explore the system of medical liability and to provide a practical review of the healthcare provider’s liability for damages at the same time.</w:t>
      </w:r>
      <w:r>
        <w:rPr>
          <w:color w:val="000000"/>
          <w:sz w:val="24"/>
          <w:szCs w:val="24"/>
        </w:rPr>
        <w:br/>
        <w:t xml:space="preserve">The Hungarian Civil Code does not contain a sui generis type of contract for medical contracts. However, the Public Health Act provides a set of special liability rules. Despite the aforementioned contractual relationship, liability for non-contractual obligations is applied for the liability of healthcare providers when it comes to recover damages. According to judicial practice, the burden of proof favours the plaintiff. Strict requirements of patients’ informed consent also makes healthcare providers vulnerable in medical malpractice cases.</w:t>
      </w:r>
      <w:r>
        <w:rPr>
          <w:color w:val="000000"/>
          <w:sz w:val="24"/>
          <w:szCs w:val="24"/>
        </w:rPr>
        <w:br/>
        <w:t xml:space="preserve">This is why we can say that rules protecting patients’ rights and interests may cause undesirable consequences, like putting healthcare providers in an unbearable position in medical malpractice cases. The final conclusion of the study is that during the framing and also the application of rules for medical liability – beside the protection of human life and health – the healthcare providers’ special circumstances must be considered, otherwise protective rules and practical solutions can easily become forms of abuse.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49800">
    <w:multiLevelType w:val="hybridMultilevel"/>
    <w:lvl w:ilvl="0" w:tplc="84455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49800">
    <w:abstractNumId w:val="49549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855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