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PÁDÁR</w:t>
            </w:r>
          </w:p>
          <w:p w:rsidR="00C275A3" w:rsidRDefault="00A96AEC" w:rsidP="00C275A3">
            <w:pPr>
              <w:pStyle w:val="Hallgatokepzes"/>
            </w:pPr>
            <w:r>
              <w:t>law</w:t>
            </w:r>
            <w:r>
              <w:br/>
            </w:r>
            <w:r w:rsidR="00E77B23">
              <w:t>Unified, 7.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Tibor Kiss PhD</w:t>
            </w:r>
          </w:p>
          <w:p w:rsidR="00DB4822" w:rsidRDefault="00DB4822" w:rsidP="009763E0">
            <w:pPr>
              <w:pStyle w:val="Konzulensektitulus"/>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current issues of the online press correction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the study is to present the application of the press correction in an online environment, based on judicial practices and the new legal environment created by the legislative changes of 2010. The objective of the study is to evaluate the present regulations of online correction and to try to identify the problematic issues. The starting point was the examination of the characteristics of the electronic press and its comparison with the printed press by the features that are relevant throughout the process of press correction.</w:t>
      </w:r>
      <w:r>
        <w:rPr>
          <w:color w:val="000000"/>
          <w:sz w:val="24"/>
          <w:szCs w:val="24"/>
        </w:rPr>
        <w:br/>
        <w:t xml:space="preserve">The study exclusively focused on press correction on online platforms, thus for other media that fall under the definition of media service the evaluation of the correction in the new regulatory environment was not carried out.</w:t>
      </w:r>
      <w:r>
        <w:rPr>
          <w:color w:val="000000"/>
          <w:sz w:val="24"/>
          <w:szCs w:val="24"/>
        </w:rPr>
        <w:br/>
        <w:t xml:space="preserve">The study primarily examines the application of press correction in an online environment with the aim of evaluation. Within the framework of this it will outline which of these correction regulations are applicable and which are not transposable due to the differences from printed press. Being a legal institution where the legal development activity of the judicial practices has a significant role due to the broad framework of regulation, the joint interpretation of legislation and the implementation is necessary to evaluate. Therefore the verdicts of the lawsuits concerning online press correction were examined regarding the last three years.</w:t>
      </w:r>
      <w:r>
        <w:rPr>
          <w:color w:val="000000"/>
          <w:sz w:val="24"/>
          <w:szCs w:val="24"/>
        </w:rPr>
        <w:br/>
        <w:t xml:space="preserve">The study comes to the conclusion, that the press correction in its present state is capable to execute its role and provides an efficient protection against false or distorted statements even in an online environment. This assertion stands despite the fact that the implementation of the practice often faces difficulties. Accordingly we can say that the codification of the judicial practices in 2010 was justified, although in the future there is no need for any serious modification. The uncertainties presented in the study can be solved on the level of legal practices.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36807">
    <w:multiLevelType w:val="hybridMultilevel"/>
    <w:lvl w:ilvl="0" w:tplc="66481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36807">
    <w:abstractNumId w:val="25636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932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