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HARASZTI</w:t>
            </w:r>
          </w:p>
          <w:p w:rsidR="00C275A3" w:rsidRDefault="00A96AEC" w:rsidP="00C275A3">
            <w:pPr>
              <w:pStyle w:val="Hallgatokepzes"/>
            </w:pPr>
            <w:r>
              <w:t>law</w:t>
            </w:r>
            <w:r>
              <w:br/>
            </w:r>
            <w:r w:rsidR="00E77B23">
              <w:t>Unified, 11.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Csuros</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Indirect and Direct Supports Related to the Film Production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Speaking about the financial support systems of movies, an important question comes to mind: is it reasonable to spend public funds to support the art of filmmaking of a country or region?</w:t>
      </w:r>
      <w:r>
        <w:rPr>
          <w:color w:val="000000"/>
          <w:sz w:val="24"/>
          <w:szCs w:val="24"/>
        </w:rPr>
        <w:br/>
        <w:t xml:space="preserve">The audiovisual works are partly economic goods that offer a huge potential to create jobs and employment and are also cultural goods as well that reflect and form our society. Because of their cost of production and cultural significance the films have the biggest importance among the audiovisual creations. The main goal of this essay is to deal with the financial questions related to filmmaking in a wider sense, especially the european and hungarian indirect and direct financial support systems and its roles and reasons.</w:t>
      </w:r>
      <w:r>
        <w:rPr>
          <w:color w:val="000000"/>
          <w:sz w:val="24"/>
          <w:szCs w:val="24"/>
        </w:rPr>
        <w:br/>
        <w:t xml:space="preserve">It is a generally accepted fact that the support systems play an important role inmaintaining the european audiovisual production. Besides the economic reasons behind the support systems (sector specific features: insufficient profit, huge risks), the cultural reasons (the narrowness of the audience of the european audiovisual creations and the expression of the european cultural variegation) also play a great part. However there are several difficulties in uniting the state rules regarding the support of the audiovisual sector with the national economic and cultural interests and the common european goals behind the support.</w:t>
      </w:r>
      <w:r>
        <w:rPr>
          <w:color w:val="000000"/>
          <w:sz w:val="24"/>
          <w:szCs w:val="24"/>
        </w:rPr>
        <w:br/>
        <w:t xml:space="preserve">The topic of the essay is actual because of the reformation of the hungarian movie supporting system in 2010. The main assumption of the essay is that filmmaking in a wider sense is a common good which justifies the governmental treatment manifesting in indirect and direct supports. To extensively evaluate the supporting system applied by Hungary, it is inevitable to examine the international milieu and models and to organize the possible forms of indirect and direct support in a way regarding that there are also alternative financial solutions and business based supports besides the governmental funds. My essay examines the formation of the hungarian film financing system, the expiry of certain financial channels and also outlines a possible film political proposal.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82897">
    <w:multiLevelType w:val="hybridMultilevel"/>
    <w:lvl w:ilvl="0" w:tplc="82591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82897">
    <w:abstractNumId w:val="80582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675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