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HUTÓCZKI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Csűrös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Tud-e repülni a lelőtt madár, avagy a takarékszövetkezetek integrációja hazánkban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 aktualitását a szövetkezeti hitelintézetek 2013. évi integrációja adja. A rendszer működésében lévő problémákra hivatkozva a jogalkotó a takarékszövetkezeti szektor esszenciális jegyeit ex lege kívánta átalakítani, a hosszú távú működőképesség, a fogyasztóvédelem és a piaci részesedés növelése végett. Mindez a korábbi autonóm és magánjogi alapon szerveződő szövetkezetek egyetlen központi irányítás alá szervezését eredményezte.</w:t>
      </w:r>
      <w:r>
        <w:rPr>
          <w:color w:val="000000"/>
          <w:sz w:val="24"/>
          <w:szCs w:val="24"/>
        </w:rPr>
        <w:br/>
        <w:t xml:space="preserve">Kiss Gy. Kálmán 2009-es sorait („a partikuláris szabadság édes madara messzire repült és leszállni azóta sem akar”) a mai helyzetre adaptálva helytálló lehet az a felvetésem, hogy ez a madár most sem akart leszállni, hanem lelőtték.</w:t>
      </w:r>
      <w:r>
        <w:rPr>
          <w:color w:val="000000"/>
          <w:sz w:val="24"/>
          <w:szCs w:val="24"/>
        </w:rPr>
        <w:br/>
        <w:t xml:space="preserve">A vizsgálódásom során e fő hipotézisre keresem a választ jogösszehasonlító és jogtörténeti módszerekkel, teleologikus értelmezési módot is alkalmazva, megállapításaimat több esetben statisztikai adatokkal alátámasztva. Az értekezésben először a nemzetközi modelleket vizsgálom, majd a hazai takarékszövetkezeti rendszer hagyományait, hozadékait elemzem. A dolgozat tárgyát képezik a releváns uniós elvárások, melyekre szintén a beavatkozás indokaként hivatkoztak Magyarországon. Ezen kutatási eredményeket alapul véve sajátos vizsgálati módszerrel veszem górcső alá a magyar takarékszövetkezeti rendszer integrációja során felmerülő kérdéseket. A magyar szabályozást vizsgálva egy SWOT-analízis segítségével arra a megállapításra jutok, hogy a szektor nem volt a törvényjavaslatban jelzett mértékű válságban, így az ekkora mértékű beavatkozás okaként más keresendő. A továbbiakban ezért interdiszciplináris jelleggel elemzem a szabályozás okát, célját és az ezekhez rendelt eszközöket.</w:t>
      </w:r>
      <w:r>
        <w:rPr>
          <w:color w:val="000000"/>
          <w:sz w:val="24"/>
          <w:szCs w:val="24"/>
        </w:rPr>
        <w:br/>
        <w:t xml:space="preserve">Egy „bűvös háromszög” mentén ismertetem a pénzügyi, gazdasági összefüggéseket, a szabályozás ellentmondásait, továbbá azt, hogy hogyan alakult át a „hármas” (likviditás - jövedelmezőség - szolvencia) preferencia-sorrend, s formálódott ki inkább egy banki struktúrára emlékeztető működés. A szövetkezeti elvek érvényesülését vizsgálva további kutatási kérdésem, hogy vajon a „helyi egységek központjából” valóban a „központ helyi egységéivé” degradálódtak-e a takarékszövetkezetek. A szabályozási kérdések során alkotmányos és versenyjogi visszásságokra, valamint a társadalompolitikai tényezők figyelembe vételének a szükségességére is felhívom a figyelmet.</w:t>
      </w:r>
      <w:r>
        <w:rPr>
          <w:color w:val="000000"/>
          <w:sz w:val="24"/>
          <w:szCs w:val="24"/>
        </w:rPr>
        <w:br/>
        <w:t xml:space="preserve">Kutatásaim eredményeképpen a dolgozat záró gondolatai között pedig választ kaphatunk arra, hogy „tud-e repülni a lelőtt madár”.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10411">
    <w:multiLevelType w:val="hybridMultilevel"/>
    <w:lvl w:ilvl="0" w:tplc="2433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10411">
    <w:abstractNumId w:val="93010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05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