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HUTÓCZKI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Csuros </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the Shot Bird Fly" - or Integration of Cooperative Financial Institutions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currency of the theme selection was induced by integration of cooperative financial institutions, in the summer of 2013. It intended to transform the essential characteristics of the savings cooperative sector by the power legislation, in the interest of long term feasibility, consumer protection and the increase of market share, as well as in reference to problems in the functioning of the system. All of this means organizing under single a central control the cooperatives that had previously been organized on an autonomous, civil law basis.</w:t>
      </w:r>
      <w:r>
        <w:rPr>
          <w:color w:val="000000"/>
          <w:sz w:val="24"/>
          <w:szCs w:val="24"/>
        </w:rPr>
        <w:br/>
        <w:t xml:space="preserve">Kálmán Gy. Kiss written in 2009 - “the bird of particular liberty flew to a distant place and it hasn’t managed to land here ever since”-, I had the feeling that this bird didn’t intend to land this time either, I was shot down.</w:t>
      </w:r>
      <w:r>
        <w:rPr>
          <w:color w:val="000000"/>
          <w:sz w:val="24"/>
          <w:szCs w:val="24"/>
        </w:rPr>
        <w:br/>
        <w:t xml:space="preserve">Thus, in the course of my research I am seeking the answer to this hypothesis by legal comparison, historical and teleological methods, which I support with statistical data. The structure of the thesis: first it examines the international models which have been regarded as examples to be followed, then it analyses the traditions, civil fruits of the Hungarian savings cooperative system. I made the relevant European Union requirements a subject of the paper, which were also mentioned as the reason for the intervention. The primary point of the examination discusses the reason and purpose of the current regulation as well as the instruments chosen to implement it. By means of the SWOT analysis, I expose that the sector wasn’t in a crisis of such severity that was indicated in the bill, thus something else should be explored as the reason for this degree of intervention, so I further examined the provisions of the Act with an interdisciplinary method.</w:t>
      </w:r>
      <w:r>
        <w:rPr>
          <w:color w:val="000000"/>
          <w:sz w:val="24"/>
          <w:szCs w:val="24"/>
        </w:rPr>
        <w:br/>
        <w:t xml:space="preserve">I presented financial, economic correlations, doubts, contradictions along the lines of a „magical triangle”, furthermore the question of how the “triple” (liquidity – profitability – solvency) preference order was transformed, and how an operation rather reminiscent of a banking structure was developed. I reviewed the effectuation of cooperative principles, if savings cooperatives have indeed been degraded to from “the center of local units” to “local units of the center”. While in the case of regulatory issues, I called attention to constitutional, competition law and socio-political factors absurdities.</w:t>
      </w:r>
      <w:r>
        <w:rPr>
          <w:color w:val="000000"/>
          <w:sz w:val="24"/>
          <w:szCs w:val="24"/>
        </w:rPr>
        <w:br/>
        <w:t xml:space="preserve">I provided a response to the above mentioned metaphor in the closing thought of the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0716">
    <w:multiLevelType w:val="hybridMultilevel"/>
    <w:lvl w:ilvl="0" w:tplc="92385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0716">
    <w:abstractNumId w:val="51870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256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