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LOVAS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Gabriella Csűrös</w:t>
            </w:r>
          </w:p>
          <w:p w:rsidR="00DB4822" w:rsidRDefault="00DB4822" w:rsidP="00E11062">
            <w:pPr>
              <w:pStyle w:val="Konzulensek"/>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Bank Resolution Mechanisms in European Union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financial crisis, which escalated in Europe around 2008, opened my eye to the necessity of the formation of a bank resolution mechanism, which forms the center point of my dissertation. The member states were hard hit by the negative effects projected on the banking sector by the resulting financial collapse, and their aim was to avoid similar situations in the future.</w:t>
      </w:r>
    </w:p>
    <w:p>
      <w:pPr>
        <w:widowControl w:val="on"/>
        <w:pBdr/>
        <w:spacing w:before="240" w:after="240" w:line="240" w:lineRule="auto"/>
        <w:ind w:left="0" w:right="0"/>
        <w:jc w:val="left"/>
      </w:pPr>
      <w:r>
        <w:rPr>
          <w:color w:val="000000"/>
          <w:sz w:val="24"/>
          <w:szCs w:val="24"/>
        </w:rPr>
        <w:t xml:space="preserve">The actuality of the object of my research stems from the fact that the formation of bank resolution mechanisms in most member states and in the banking union is still in progress.</w:t>
      </w:r>
    </w:p>
    <w:p>
      <w:pPr>
        <w:widowControl w:val="on"/>
        <w:pBdr/>
        <w:spacing w:before="240" w:after="240" w:line="240" w:lineRule="auto"/>
        <w:ind w:left="0" w:right="0"/>
        <w:jc w:val="left"/>
      </w:pPr>
      <w:r>
        <w:rPr>
          <w:color w:val="000000"/>
          <w:sz w:val="24"/>
          <w:szCs w:val="24"/>
        </w:rPr>
        <w:t xml:space="preserve">I built up the structure of my dissertation on the following logical framework: First, I addressed its legal base and proof of its necessity, then I used comparative analysis between the most important provisions of the directive and the Hungarian legislative act. During my research, I dealt extensively with the Hungarian National Bank, its expanding authority and the question of its independence. Then, I examined the „liquidator company” recently acquired by the state bank, which is a field hardly researched by science. Finally, in order to pursue a systemic approach and define the Hungarian interests, I introduced and analyzed the banking union established in the member states of the eurozone and specified the advantages and disadvantages of a potential Hungarian accession.</w:t>
      </w:r>
    </w:p>
    <w:p>
      <w:pPr>
        <w:widowControl w:val="on"/>
        <w:pBdr/>
        <w:spacing w:before="240" w:after="240" w:line="240" w:lineRule="auto"/>
        <w:ind w:left="0" w:right="0"/>
        <w:jc w:val="left"/>
      </w:pPr>
      <w:r>
        <w:rPr>
          <w:color w:val="000000"/>
          <w:sz w:val="24"/>
          <w:szCs w:val="24"/>
        </w:rPr>
        <w:t xml:space="preserve">The aim of my dissertation is to draw attention to the importance of bank resolutions and to the fact that it isn’t enough to adequately regulate the treatment (of a crisis), but it’s also necessary to regulate the preventive measures.</w:t>
      </w:r>
    </w:p>
    <w:p>
      <w:pPr>
        <w:widowControl w:val="on"/>
        <w:pBdr/>
        <w:spacing w:before="240" w:after="240" w:line="240" w:lineRule="auto"/>
        <w:ind w:left="0" w:right="0"/>
        <w:jc w:val="left"/>
      </w:pPr>
      <w:r>
        <w:rPr>
          <w:color w:val="000000"/>
          <w:sz w:val="24"/>
          <w:szCs w:val="24"/>
        </w:rPr>
        <w:t xml:space="preserve">My final conclusion is that the crisis highlighted the necessity of establishing and regulating mechanisms of banking supervision and bank resolution both on a state and on a EU level. The banking supervision systems are, for the most part, already established, but the regulation of bank resolution systems is still in progress. The current aim of both the European Union and Hungary is to avoid the crisis of financial institutions via the introduction of adequate utilities, and, if necessary, treat such a crisis, in order to eliminate its negative effects on the national budget and public debt.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78932">
    <w:multiLevelType w:val="hybridMultilevel"/>
    <w:lvl w:ilvl="0" w:tplc="47424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78932">
    <w:abstractNumId w:val="500789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5837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