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TÜNDE BESENYEI</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Szemesi, Sándor PhD habil.</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COMMERCIAL USE OF OUTER SPACE AND THE REGULATION OF SPACE TOURISM IN PUBLIC INTERNATIONAL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21th century, the basic questions of space law come to the front again. Besides the states, private enterprises brake into the „market of the outer space” increasingly, therefore a quick solution has to be found to assure the correspondent legal background.</w:t>
      </w:r>
      <w:r>
        <w:rPr>
          <w:color w:val="000000"/>
          <w:sz w:val="24"/>
          <w:szCs w:val="24"/>
        </w:rPr>
        <w:br/>
        <w:t xml:space="preserve">The aim of my research project is – in the view of the actual rules – to create some possible solutions on how could we realize a close co-operation between states and enterprises in the course of commercial use.</w:t>
      </w:r>
      <w:r>
        <w:rPr>
          <w:color w:val="000000"/>
          <w:sz w:val="24"/>
          <w:szCs w:val="24"/>
        </w:rPr>
        <w:br/>
        <w:t xml:space="preserve">In my essay, I entered into details about the institutions and the main legal sources of space law, so that, I introduced the different systemic structures, and the summary of the most important international treaties. Next, I tried to examine the practical relevance of the actual commercial uses, the space tourism and the space mining. In the case of the space tourism, the main question which actually interferes the law-making process is how should we handle the space tourist’s legal position during the spaceflight in outer space and what kind of liability they need to possess. In the issue of the space mining, the problem is about the operation of the global market, and this is where I put the emphasis on the collaboration of the states and the enterprises. On the basis of the Antarctic Treaty and the deep sea mining I delineated a possible model in connection with the space mining, focusing on the incidental conflicts among the developed and developing countries, and among the private enterprises as well.</w:t>
      </w:r>
      <w:r>
        <w:rPr>
          <w:color w:val="000000"/>
          <w:sz w:val="24"/>
          <w:szCs w:val="24"/>
        </w:rPr>
        <w:br/>
        <w:t xml:space="preserve">As a result, in the case of space exploitation, there are bigger economic interests than in space tourism, so the states have to concentrate on this harder. The possible solution could be the establishment of an international authority, which would ensure the exploitation rights to the enterprises by license and the charge of the license paid by these private (or state-owned) companies would be divided among the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64376">
    <w:multiLevelType w:val="hybridMultilevel"/>
    <w:lvl w:ilvl="0" w:tplc="27232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64376">
    <w:abstractNumId w:val="719643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972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