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GAZSÓ</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Sandor Szemesi</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Crisis in the Ukraine – a Public International Law Approach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analyze from the perspective of international law how the Ukrainian crisis appears at the Crimean peninsula. The main reason for I chose this field of public international law is because of its’ actuality. Because the crisis in Ukraine became very complex in a really short time and in an unexpected way I had to choose a part of it to analyze. My choice was the situation about how the Crimea became the part of Russia, because as far as I am concerned it is a little, but important highlight of the whole crisis.</w:t>
      </w:r>
      <w:r>
        <w:rPr>
          <w:color w:val="000000"/>
          <w:sz w:val="24"/>
          <w:szCs w:val="24"/>
        </w:rPr>
        <w:br/>
        <w:t xml:space="preserve">In the first part of my essay I take a short historical overview about the Crimean peninsula, later I examine the current situation and last, but not least I summarize my conclusions (based on the earlier explained statements in it). Trough the essay I always try to meet the expectations of objectivity. My focus is of course on the situation of nowadays at the Crimea. In the interpretation of this I take care about the isolation and evaluation of the positions of the opposing parties (so “both sides of the coin” are demonstrated), then I examine the international community’s reaction and as its “result” (or even failure?) the circumstances and consequences of the referendum held on secession from Ukraine.</w:t>
      </w:r>
      <w:r>
        <w:rPr>
          <w:color w:val="000000"/>
          <w:sz w:val="24"/>
          <w:szCs w:val="24"/>
        </w:rPr>
        <w:br/>
        <w:t xml:space="preserve">Due to the nature of my topic firstly I always outlined the main points of the relevant events and classified them from the view of international law. Where it was possible I set up parallels and examined them with the comparative method to the happenings at the Crimea (such as the cases of Turkish Republic of Northern Cyprus, Kosovo and South-Ossetia). In the dissertation I explained for example how to qualify if “little green men” invade a peninsula within a few days, what does “Putin doctrine” mean, why the Crimean conflict is a special one, and why was there no effective action on the situation from the side of the international community.</w:t>
      </w:r>
      <w:r>
        <w:rPr>
          <w:color w:val="000000"/>
          <w:sz w:val="24"/>
          <w:szCs w:val="24"/>
        </w:rPr>
        <w:br/>
        <w:t xml:space="preserve">In my final thoughts I tried to determine what kind of relevance can be of this “frozen conflict” in the future, from the view of enforcement of international legal system as a solution to handle conflicts between states. After these my final conclusion is, there is only one issue we can be sure about (as we have seen many times in history and in this case too): it is not worthy to play with the “Russian Bear”.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63118">
    <w:multiLevelType w:val="hybridMultilevel"/>
    <w:lvl w:ilvl="0" w:tplc="77656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63118">
    <w:abstractNumId w:val="96763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0822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