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HOCKSTOCK ÁRON</w:t>
            </w:r>
          </w:p>
          <w:p w:rsidR="00C275A3" w:rsidRDefault="00A96AEC" w:rsidP="00C275A3">
            <w:pPr>
              <w:pStyle w:val="Hallgatokepzes"/>
            </w:pPr>
            <w:r>
              <w:t>Vegyészmérnök</w:t>
            </w:r>
            <w:r>
              <w:br/>
            </w:r>
            <w:r w:rsidR="00E77B23">
              <w:t>MSc, 2.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PARÁDI VANDA</w:t>
            </w:r>
          </w:p>
          <w:p w:rsidR="00DB4822" w:rsidRDefault="00C275A3" w:rsidP="004D7940">
            <w:pPr>
              <w:pStyle w:val="Hallgatokepzes"/>
            </w:pPr>
            <w:r>
              <w:t>Vegyészmérnök</w:t>
            </w:r>
            <w:r w:rsidR="00A96AEC">
              <w:br/>
              <w:t>MSc, 2.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Tóth Csaba</w:t>
            </w:r>
          </w:p>
          <w:p w:rsidR="00DB4822" w:rsidRDefault="00DB4822" w:rsidP="00BA6BAF">
            <w:pPr>
              <w:pStyle w:val="Konzulensektitulus"/>
            </w:pPr>
            <w:r w:rsidRPr="00DB4822">
              <w:t>egyetemi tanársegéd,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szabadzsírsav-tartalmú alapanyagok biodízel célú előészterezése ioncserélő gyantán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hulladék; biokomponens; Eu direktíva; szappanképződés</w:t>
      </w:r>
      <w:r>
        <w:t xml:space="preserve"/>
      </w:r>
    </w:p>
    <w:p>
      <w:pPr>
        <w:widowControl w:val="on"/>
        <w:pBdr/>
        <w:spacing w:before="240" w:after="240" w:line="240" w:lineRule="auto"/>
        <w:ind w:left="0" w:right="0"/>
        <w:jc w:val="left"/>
      </w:pPr>
      <w:r>
        <w:rPr>
          <w:color w:val="000000"/>
          <w:sz w:val="24"/>
          <w:szCs w:val="24"/>
        </w:rPr>
        <w:t xml:space="preserve">Az Európai Unió – a kőolajimport-függőség visszaszorítása és az üvegházhatásúgáz-emisszió csökkentése érdekében – energiapolitikájában támogatja a biomotorhajtóanyagok minél szélesebb körű felhasználását és fejlesztését. Az EU által meghatározott irányelvek szerint 2020-ra a megújítható erőforrásokból származó motorhajtóanyagoknak 10 e%-ot kell kitenniük a közúti közlekedésben. Napjainkban a dízelgázolajokban legnagyobb mennyiségben alkalmazott biokeverőkomponens a biodízel.</w:t>
      </w:r>
    </w:p>
    <w:p>
      <w:pPr>
        <w:widowControl w:val="on"/>
        <w:pBdr/>
        <w:spacing w:before="240" w:after="240" w:line="240" w:lineRule="auto"/>
        <w:ind w:left="0" w:right="0"/>
        <w:jc w:val="left"/>
      </w:pPr>
      <w:r>
        <w:rPr>
          <w:color w:val="000000"/>
          <w:sz w:val="24"/>
          <w:szCs w:val="24"/>
        </w:rPr>
        <w:t xml:space="preserve">Dolgozatunkban az élelmiszeripari felhasználásra alkalmatlan vagy hulladékként keletkező nagy szabadzsírsav(FFA)-tartalmú állati, valamint növényi eredetű zsiradékok és olajok ioncserélő gyantán történő előészterezését vizsgáltuk a hagyományos biodízelgyártási technológiákba való integrálhatóság céljából. Célunk az ioncserélő gyanták észterező aktivitásának vizsgálata és a kedvező műveleti paraméterek meghatározása volt különböző alapanyagok esetén. Kísérleteinket négy eltérő tulajdonságú ioncserélő gyanta katalizátoron (LANXESS Lewatit GF 101, CHEMRA Treverlyst RN300, RN360 és XS10200) végeztük nagylaboratóriumi és méretnövelt reaktorrendszerben. Alapanyagként használt sütőolajat (HSO), valamint 10% és 30% fehérjefeldolgozói zsírt tartalmazó repceolaj elegyet (GF10, GF30) dolgoztunk fel.</w:t>
      </w:r>
      <w:r>
        <w:rPr>
          <w:color w:val="000000"/>
          <w:sz w:val="24"/>
          <w:szCs w:val="24"/>
        </w:rPr>
        <w:br/>
        <w:t xml:space="preserve">Mind a nagylaboratóriumi-, és mind a méretnövelt reaktorrendszer esetében az RN 300 jelű ioncserélő gyanta aktivitása volt a legnagyobb a szabad zsírsavak észterezése során. A kedvező műveleti paraméterkombinációk mellett a nagylaboratóriumi reaktorrendszerben csak a HSO és GF10 alapanyagokból előállított termékek esetében értünk el megfelelő konverziót (savszám: A kísérleti eredményeink alapján megállapítottuk, hogy az általunk kiválasztott ioncserélő gyanta katalizátor alkalmas nagy FFA-tartalmú alapanyagok előészterezésére, amely segítségével bővíthető a hagyományos biodízel üzemek alapanyagbázisa. Így nagyobb mennyiségű hulladék eredetű alapanyag feldolgozására lesz alkalmas az üzem, amelyeknek FFA-tartalma nagy konverzióval biodízel termékké alakítható. A hulladék alapon előállított biodízelek részaránya 2-szeres súllyal kerül elszámolásra a 2020-ig elérendő 10,0 e% biokomponens tartalom esetén, így ezek alkalmazása nagyban hozzájárul az Európai Unió irányelveinek teljesítéséhez.</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42615">
    <w:multiLevelType w:val="hybridMultilevel"/>
    <w:lvl w:ilvl="0" w:tplc="73335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42615">
    <w:abstractNumId w:val="78542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698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