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HOCKSTOCK</w:t>
            </w:r>
          </w:p>
          <w:p w:rsidR="00C275A3" w:rsidRDefault="00A96AEC" w:rsidP="00C275A3">
            <w:pPr>
              <w:pStyle w:val="Hallgatokepzes"/>
            </w:pPr>
            <w:r>
              <w:t>Chemical Engineer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VANDA PARÁDI</w:t>
            </w:r>
          </w:p>
          <w:p w:rsidR="00DB4822" w:rsidRDefault="00C275A3" w:rsidP="004D7940">
            <w:pPr>
              <w:pStyle w:val="Hallgatokepzes"/>
            </w:pPr>
            <w:r>
              <w:t>Chemical Engineer</w:t>
            </w:r>
            <w:r w:rsidR="00A96AEC">
              <w:br/>
              <w:t>MSc, 2.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Toth</w:t>
            </w:r>
          </w:p>
          <w:p w:rsidR="00DB4822" w:rsidRDefault="00DB4822" w:rsidP="00E11062">
            <w:pPr>
              <w:pStyle w:val="Konzulensek"/>
            </w:pPr>
            <w:r w:rsidRPr="00DB4822">
              <w:t>assistant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Preesterification of high FFA content raw materials to biodiesel on ion exchange resin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waste; biocomponent; EU directives; soap formation</w:t>
      </w:r>
      <w:r>
        <w:t xml:space="preserve"/>
      </w:r>
    </w:p>
    <w:p>
      <w:pPr>
        <w:widowControl w:val="on"/>
        <w:pBdr/>
        <w:spacing w:before="240" w:after="240" w:line="240" w:lineRule="auto"/>
        <w:ind w:left="0" w:right="0"/>
        <w:jc w:val="left"/>
      </w:pPr>
      <w:r>
        <w:rPr>
          <w:color w:val="000000"/>
          <w:sz w:val="24"/>
          <w:szCs w:val="24"/>
        </w:rPr>
        <w:t xml:space="preserve">The EU Energy Policy emphasizes the development and extensive use of biofuels in order to decrease the high import dependence on crude oil and the greenhouse gas emissions. A present EU directive sets a mandatory 10 e% goal for biofuels in the transport sector until 2020. Nowadays biodiesel is the most widely used biocomponent in gasoil.</w:t>
      </w:r>
      <w:r>
        <w:rPr>
          <w:color w:val="000000"/>
          <w:sz w:val="24"/>
          <w:szCs w:val="24"/>
        </w:rPr>
        <w:br/>
        <w:t xml:space="preserve">In this work the preesterification process of non-edible vegetable oils and animal fats with high free fatty acid (FFA) content was studied in the presence of ion exchange resins to broaden the raw material basis of biodiesel plants. Our goal was to investigate on the activity of the catalysts and determine the sufficient operational parameters in case of different types of raw materials. Our experiments were carried out on a bench scale and on a larger, scaled-up reactor system with four different types of ion exchange resins (LANXESS Lewatit GF101, CHEMRA Treverlyst RN300, RN360 and XS10200). Waste cooking oil (HSO) and rapeseed oil containing 10% (GF10) and 30% (GF30) of animal fat were used as feed materials.</w:t>
      </w:r>
      <w:r>
        <w:rPr>
          <w:color w:val="000000"/>
          <w:sz w:val="24"/>
          <w:szCs w:val="24"/>
        </w:rPr>
        <w:br/>
        <w:t xml:space="preserve">Our results showed that RN300 ion exchange resin had the highest activity in both reactor systems. Applying the favorable operational parameters suitable conversion of HSO and GF10 was reached (total acid number /TAN/ &lt; 2 mg KOH/g). In the scaled-up reactor system higher conversion rates were observed for all three raw materials, even in case of GF30 the TAN of products was below 2 mg KOH/g. Therefore the products are suitable for the processing in the further alkaline transesterification step.</w:t>
      </w:r>
      <w:r>
        <w:rPr>
          <w:color w:val="000000"/>
          <w:sz w:val="24"/>
          <w:szCs w:val="24"/>
        </w:rPr>
        <w:br/>
        <w:t xml:space="preserve">Based on our experimental results we found that the chosen ion exchange resin is appropriate for the preesterification of high FFA-content feed materials, so these can be integrated into traditional biodiesel plants enabling to use more waste-based raw materials. Waste-based biodiesel will count for double their energy content towards the biofuels target of 10 e% therefore contribute to the fulfilment of the EU directives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02776">
    <w:multiLevelType w:val="hybridMultilevel"/>
    <w:lvl w:ilvl="0" w:tplc="38279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02776">
    <w:abstractNumId w:val="59402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717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