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FERTIG</w:t>
            </w:r>
          </w:p>
          <w:p w:rsidR="00C275A3" w:rsidRDefault="00A96AEC" w:rsidP="00C275A3">
            <w:pPr>
              <w:pStyle w:val="Hallgatokepzes"/>
            </w:pPr>
            <w:r>
              <w:t>Chemistry BSc</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Dezső Boda</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Calsequestrin protein network on the strength of the ionic transport through calcium channels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Ion channel; diffusion; Calsequestrin-protein network; DERD; Ryanodine-receptor</w:t>
      </w:r>
      <w:r>
        <w:t xml:space="preserve"/>
      </w:r>
    </w:p>
    <w:p>
      <w:pPr>
        <w:widowControl w:val="on"/>
        <w:pBdr/>
        <w:spacing w:before="240" w:after="240" w:line="240" w:lineRule="auto"/>
        <w:ind w:left="0" w:right="0"/>
        <w:jc w:val="left"/>
      </w:pPr>
      <w:r>
        <w:rPr>
          <w:color w:val="000000"/>
          <w:sz w:val="24"/>
          <w:szCs w:val="24"/>
        </w:rPr>
        <w:t xml:space="preserve">In muscle cells, the release of a great amount of calcium from the sarcoplasmic reticulum (SR) initiates muscle contraction. The ions are released through the Ryanodine-receptor calcium channels. The flux of calcium ions is driven by their concentration gradient between the SR and the muscle cell. Calcium is stored in the Calsequestrin protein network in the SR.</w:t>
      </w:r>
      <w:r>
        <w:rPr>
          <w:color w:val="000000"/>
          <w:sz w:val="24"/>
          <w:szCs w:val="24"/>
        </w:rPr>
        <w:br/>
        <w:t xml:space="preserve">These cylindrical proteins have Calcium-binding sites and have large negative surface charge density.</w:t>
      </w:r>
    </w:p>
    <w:p>
      <w:pPr>
        <w:widowControl w:val="on"/>
        <w:pBdr/>
        <w:spacing w:before="240" w:after="240" w:line="240" w:lineRule="auto"/>
        <w:ind w:left="0" w:right="0"/>
        <w:jc w:val="left"/>
      </w:pPr>
      <w:r>
        <w:rPr>
          <w:color w:val="000000"/>
          <w:sz w:val="24"/>
          <w:szCs w:val="24"/>
        </w:rPr>
        <w:t xml:space="preserve">The ionic flux is increased not only by the increased ionic concentration inside the SR, but also by the reduction of dimensionality. In the phenomenon of the ''Diffusion Enhancement by Reduction of Dimensionality'' (DERD), the diffusion is faster and more efficient if the ions do not diffuse in the three dimensional space, but they diffuse near a surface instead.</w:t>
      </w:r>
      <w:r>
        <w:rPr>
          <w:color w:val="000000"/>
          <w:sz w:val="24"/>
          <w:szCs w:val="24"/>
        </w:rPr>
        <w:br/>
        <w:t xml:space="preserve">In three dimensions, the distance travelled by the ions may be greater than the distance between the starting point and the ending point.</w:t>
      </w:r>
    </w:p>
    <w:p>
      <w:pPr>
        <w:widowControl w:val="on"/>
        <w:pBdr/>
        <w:spacing w:before="240" w:after="240" w:line="240" w:lineRule="auto"/>
        <w:ind w:left="0" w:right="0"/>
        <w:jc w:val="left"/>
      </w:pPr>
      <w:r>
        <w:rPr>
          <w:color w:val="000000"/>
          <w:sz w:val="24"/>
          <w:szCs w:val="24"/>
        </w:rPr>
        <w:t xml:space="preserve">In this dissertation, I created a simple model for the Calsequestrin protein network attached to the Ryanodine-receptor to examine the DERD effect by the Nernst-Planck (NP) transport equation and the Local Equilibrium Monte Carlo (LEMC) simulation method. The NP equation computes the flux, while the LEMC method provides the relation between the concentration and the electrochemical potential that are the input parameters of the NP equation. The object is to separate the increase of current caused by the growth of the ionic concentration and the increase of current caused by the DERD effect.</w:t>
      </w:r>
      <w:r>
        <w:rPr>
          <w:color w:val="000000"/>
          <w:sz w:val="24"/>
          <w:szCs w:val="24"/>
        </w:rPr>
        <w:br/>
        <w:t xml:space="preserve">My calculations showed that the current is larger if I place the charges on the surface of a cylinder compared to the case when these charges are space charges (represented by free mobile ions) in the system. My results, therefore, confirm the DERD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08288">
    <w:multiLevelType w:val="hybridMultilevel"/>
    <w:lvl w:ilvl="0" w:tplc="89416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08288">
    <w:abstractNumId w:val="99708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910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