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NAGY</w:t>
            </w:r>
          </w:p>
          <w:p w:rsidR="00C275A3" w:rsidRDefault="00A96AEC" w:rsidP="00C275A3">
            <w:pPr>
              <w:pStyle w:val="Hallgatokepzes"/>
            </w:pPr>
            <w:r>
              <w:t>Chemyst</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Skoda-Földes</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Aminocarbonylation in the presence of a heterogeneous catalyst modified with a pyridinium ionic liquid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pyridinium; heterogeneous catalyse; ionic liquid; palladium; aminocarbonylation</w:t>
      </w:r>
      <w:r>
        <w:t xml:space="preserve"/>
      </w:r>
    </w:p>
    <w:p>
      <w:pPr>
        <w:widowControl w:val="on"/>
        <w:pBdr/>
        <w:spacing w:before="240" w:after="240" w:line="240" w:lineRule="auto"/>
        <w:ind w:left="0" w:right="0"/>
        <w:jc w:val="left"/>
      </w:pPr>
      <w:r>
        <w:rPr>
          <w:color w:val="000000"/>
          <w:sz w:val="24"/>
          <w:szCs w:val="24"/>
        </w:rPr>
        <w:t xml:space="preserve">Carbonylation and coupling reactions catalyzed by different transition metal complexes appear in a wide range in synthetic organic chemistry. They ensure good yield and selectivity. Reactions can occur either in homogeneous or heterogeneous phases. In homogeneous catalytic reactions, it is difficult to separate the product efficiently and the re-use of the catalyst is also problematic. The solution for this problem may be to attach the catalyst to a solid carrier, either by physical adsorption or by covalent bonding.</w:t>
      </w:r>
      <w:r>
        <w:rPr>
          <w:color w:val="000000"/>
          <w:sz w:val="24"/>
          <w:szCs w:val="24"/>
        </w:rPr>
        <w:br/>
        <w:t xml:space="preserve">In my scientific work aminocarbonylation reactions have been tested using palladium catalysts. The catalyst was stabilized by a pyridinium ionic liquid. The ionic liquid, 1-butyl-4-methyl-pyridinium-chloride, was attached to the surface of silica by physical adsorption. Leaching of the ionic liquid was followed by IR spectroscopy and elemental analysis. The catalyst was tested in the model reaction of iodobenzene and morpholine. The reaction conditions, such as the choice of solvent, carbon-monoxide pressure and reaction time, were optimized. The catalyst was found to be selective to the double carbonylated product. GC and GC-MS were used to calculate the yield of the chemical reaction and to clarify the chemical structure of the products.</w:t>
      </w:r>
      <w:r>
        <w:rPr>
          <w:color w:val="000000"/>
          <w:sz w:val="24"/>
          <w:szCs w:val="24"/>
        </w:rPr>
        <w:br/>
        <w:t xml:space="preserve">Mercury-poisoning tests proved that the palladium is in the form of nanoparticles as well as complexes during the reaction. ICP-AES was used to determine the palladium content of the catalyst and the leaching of the palladium during the reaction.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59391">
    <w:multiLevelType w:val="hybridMultilevel"/>
    <w:lvl w:ilvl="0" w:tplc="85885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59391">
    <w:abstractNumId w:val="60159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412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