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STAYER PÉTER DÁVID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Bakos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Enantioszelektív Roche észter előállítás Ródium-katalizált aszimmetrikus hidrogénezéssel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foszfán-foszforamidit, enantioszelektivitás, aszimmetrikus szintézis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 Roche észter (3-hidroxi-2-metil-propánsav-metilészter) számos biológiailag aktív vegyület szintézisének építőköve.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Az enantiomerikusan tiszta forma egyik egyszerű és gazdaságos előállítási módja a 2-(hidroximetil)-2-propénsav-metilészter aszimmetrikus hidrogénezése. A kutatás témája a folyamat tökéletesítése. Katalizátorként a kutatócsoportunkban korábban kifejlesztett királis foszfán-foszforamidit ligandummal módosított ródium komplexet alkalmaztam, amely rendszer más prokirális tesztszubsztrátumokra szelektívnek bizonyult.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Célom minél nagyobb enantiomerikus hozam (ee) és aktivitás elérése volt. Az ideális reakciókörülmények megállapítására a prekurzor komplex, az oldószer, a hőmérséklet és a nyomás hatását vizsgáltam. Szakirodalmi viszonylatban kiemelkedő 98,6 % ee-t értem el etanol oldószerben, 20 bar nyomáson és szobahőmérsékleten.</w:t>
      </w:r>
      <w:r>
        <w:rPr>
          <w:color w:val="000000"/>
          <w:sz w:val="24"/>
          <w:szCs w:val="24"/>
        </w:rPr>
        <w:br/>
        <w:t xml:space="preserve">    A későbbiekben a reakciókörülmények további optimalizálását és több, a ligandum sztérikus és elektronikus tulajdonságait befolyásoló különböző szubsztituensekkel módosított foszfán-foszforamidit analóg tesztelését tervezem. A katalizátorrendszer heterogenizált változatát az H-CubeTM folyamatos átáramlásos hidrogénező reaktorban is tervezem kipróbálni.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Y. Shin, J.-H. Fournier, Y. Fukui, A. Brückner, D. Curran Angew. Chem. Int. Ed. 2004, 35, 4634.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</w:t>
      </w:r>
      <w:r>
        <w:rPr>
          <w:color w:val="000000"/>
          <w:sz w:val="24"/>
          <w:szCs w:val="24"/>
        </w:rPr>
        <w:t xml:space="preserve"> (a) Sz. Balogh, G. Farkas, J. Madarász, Á. Szöllősy, J. Kovács, F. Darvas, L. Ürge, J. Bakos Green Chem. 2012, 14, 1146. (b) Sz. Balogh, G. Farkas, Á. Szöllősy, F. Darvas, L. Ürge, J. Bakos Tetrahedron: Asymmetry 2013, 24, 66.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03047">
    <w:multiLevelType w:val="hybridMultilevel"/>
    <w:lvl w:ilvl="0" w:tplc="23855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03047">
    <w:abstractNumId w:val="47303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785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